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A35A024E">
      <w:pPr>
        <w:pStyle w:val="style0"/>
        <w:spacing w:after="100"/>
        <w:jc w:val="center"/>
        <w:rPr/>
      </w:pPr>
      <w:r>
        <w:rPr>
          <w:b/>
          <w:bCs/>
          <w:color w:val="1f4e5f"/>
          <w:sz w:val="48"/>
          <w:szCs w:val="48"/>
        </w:rPr>
        <w:t>GRADE 10 BIOLOGY NOTES</w:t>
      </w:r>
    </w:p>
    <w:p w14:paraId="B0C4B874">
      <w:pPr>
        <w:pStyle w:val="style0"/>
        <w:spacing w:after="400"/>
        <w:jc w:val="center"/>
        <w:rPr/>
      </w:pPr>
      <w:r>
        <w:rPr>
          <w:b/>
          <w:bCs/>
          <w:color w:val="8b0000"/>
          <w:sz w:val="32"/>
          <w:szCs w:val="32"/>
        </w:rPr>
        <w:t>Strand 2.3: Gaseous Exchange and Respiration in Plants</w:t>
      </w:r>
    </w:p>
    <w:p w14:paraId="56C6C365">
      <w:pPr>
        <w:pStyle w:val="style0"/>
        <w:spacing w:after="600"/>
        <w:jc w:val="center"/>
        <w:rPr/>
      </w:pPr>
      <w:r>
        <w:rPr>
          <w:i/>
          <w:iCs/>
          <w:sz w:val="22"/>
          <w:szCs w:val="22"/>
        </w:rPr>
        <w:t>Compiled study notes with diagrams, practical/demonstration activities, observations and conclusions</w:t>
      </w:r>
    </w:p>
    <w:p w14:paraId="E94EF970">
      <w:pPr>
        <w:pStyle w:val="style4098"/>
        <w:spacing w:before="300" w:after="150"/>
        <w:rPr/>
      </w:pPr>
      <w:r>
        <w:rPr>
          <w:b/>
          <w:bCs/>
        </w:rPr>
        <w:t>Learning Outcomes</w:t>
      </w:r>
    </w:p>
    <w:p w14:paraId="2E2A5C08">
      <w:pPr>
        <w:pStyle w:val="style179"/>
        <w:numPr>
          <w:ilvl w:val="0"/>
          <w:numId w:val="1"/>
        </w:numPr>
        <w:spacing w:after="80"/>
        <w:rPr/>
      </w:pPr>
      <w:r>
        <w:t>Relate the structure of gaseous exchange sites in plants to their function</w:t>
      </w:r>
    </w:p>
    <w:p w14:paraId="A4517590">
      <w:pPr>
        <w:pStyle w:val="style179"/>
        <w:numPr>
          <w:ilvl w:val="0"/>
          <w:numId w:val="1"/>
        </w:numPr>
        <w:spacing w:after="80"/>
        <w:rPr/>
      </w:pPr>
      <w:r>
        <w:t>Describe the mechanism of opening and closing of stomata in plants</w:t>
      </w:r>
    </w:p>
    <w:p w14:paraId="AC9F6995">
      <w:pPr>
        <w:pStyle w:val="style179"/>
        <w:numPr>
          <w:ilvl w:val="0"/>
          <w:numId w:val="1"/>
        </w:numPr>
        <w:spacing w:after="80"/>
        <w:rPr/>
      </w:pPr>
      <w:r>
        <w:t>Investigate aerobic and anaerobic respiration in living organisms</w:t>
      </w:r>
    </w:p>
    <w:p w14:paraId="B9291CE1">
      <w:pPr>
        <w:pStyle w:val="style179"/>
        <w:numPr>
          <w:ilvl w:val="0"/>
          <w:numId w:val="1"/>
        </w:numPr>
        <w:spacing w:after="80"/>
        <w:rPr/>
      </w:pPr>
      <w:r>
        <w:t>Explain the economic importance of anaerobic respiration in nature</w:t>
      </w:r>
    </w:p>
    <w:p w14:paraId="FE41B100">
      <w:pPr>
        <w:pStyle w:val="style179"/>
        <w:numPr>
          <w:ilvl w:val="0"/>
          <w:numId w:val="1"/>
        </w:numPr>
        <w:spacing w:after="80"/>
        <w:rPr/>
      </w:pPr>
      <w:r>
        <w:t>Appreciate the significance of gaseous exchange and respiration to plants and the environment</w:t>
      </w:r>
    </w:p>
    <w:p w14:paraId="AFFC92E5">
      <w:pPr>
        <w:pStyle w:val="style0"/>
        <w:rPr/>
      </w:pPr>
      <w:r>
        <w:br w:type="page"/>
      </w:r>
    </w:p>
    <w:p w14:paraId="52FBAB2D">
      <w:pPr>
        <w:pStyle w:val="style4097"/>
        <w:spacing w:before="400" w:after="200"/>
        <w:rPr/>
      </w:pPr>
      <w:r>
        <w:rPr>
          <w:b/>
          <w:bCs/>
        </w:rPr>
        <w:t>1. Introduction</w:t>
      </w:r>
    </w:p>
    <w:p w14:paraId="3BFD9B89">
      <w:pPr>
        <w:pStyle w:val="style0"/>
        <w:spacing w:after="150"/>
        <w:rPr/>
      </w:pPr>
      <w:r>
        <w:t>Plants make organic compounds (e.g. glucose) by photosynthesis, and break these down by respiration to release energy for cellular activities.</w:t>
      </w:r>
    </w:p>
    <w:p w14:paraId="2B1C129E">
      <w:pPr>
        <w:pStyle w:val="style0"/>
        <w:spacing w:after="150"/>
        <w:rPr/>
      </w:pPr>
      <w:r>
        <w:t>Photosynthesis uses carbon (IV) oxide (CO₂) as a raw material and releases oxygen as a by-product. Respiration uses oxygen and releases CO₂ as a waste product. The passage of these two gases between a plant and its environment is called gaseous exchange.</w:t>
      </w:r>
    </w:p>
    <w:p w14:paraId="22722407">
      <w:pPr>
        <w:pStyle w:val="style4099"/>
        <w:spacing w:before="200" w:after="100"/>
        <w:rPr/>
      </w:pPr>
      <w:r>
        <w:rPr>
          <w:b/>
          <w:bCs/>
          <w:color w:val="1f4e5f"/>
        </w:rPr>
        <w:t>Why plants do not have special gaseous-exchange organs (unlike animals)</w:t>
      </w:r>
    </w:p>
    <w:p w14:paraId="6FC697D9">
      <w:pPr>
        <w:pStyle w:val="style179"/>
        <w:numPr>
          <w:ilvl w:val="0"/>
          <w:numId w:val="1"/>
        </w:numPr>
        <w:spacing w:after="80"/>
        <w:rPr/>
      </w:pPr>
      <w:r>
        <w:t>The vascular (transport) system of a plant does not carry gases, so every part of the plant meets its own gas needs.</w:t>
      </w:r>
    </w:p>
    <w:p w14:paraId="026B4522">
      <w:pPr>
        <w:pStyle w:val="style179"/>
        <w:numPr>
          <w:ilvl w:val="0"/>
          <w:numId w:val="1"/>
        </w:numPr>
        <w:spacing w:after="80"/>
        <w:rPr/>
      </w:pPr>
      <w:r>
        <w:t>Plants are metabolically less active than animals, so they need much smaller volumes of gas.</w:t>
      </w:r>
    </w:p>
    <w:p w14:paraId="342D4C8E">
      <w:pPr>
        <w:pStyle w:val="style179"/>
        <w:numPr>
          <w:ilvl w:val="0"/>
          <w:numId w:val="1"/>
        </w:numPr>
        <w:spacing w:after="80"/>
        <w:rPr/>
      </w:pPr>
      <w:r>
        <w:t>Large volumes of gas are only exchanged in the leaves, during photosynthesis.</w:t>
      </w:r>
    </w:p>
    <w:p w14:paraId="62598126">
      <w:pPr>
        <w:pStyle w:val="style179"/>
        <w:numPr>
          <w:ilvl w:val="0"/>
          <w:numId w:val="1"/>
        </w:numPr>
        <w:spacing w:after="80"/>
        <w:rPr/>
      </w:pPr>
      <w:r>
        <w:t>The diffusion distance inside a plant is short because most plant cells lie close to a gaseous exchange surface.</w:t>
      </w:r>
    </w:p>
    <w:p w14:paraId="73E3BA04">
      <w:pPr>
        <w:pStyle w:val="style179"/>
        <w:numPr>
          <w:ilvl w:val="0"/>
          <w:numId w:val="1"/>
        </w:numPr>
        <w:spacing w:after="80"/>
        <w:rPr/>
      </w:pPr>
      <w:r>
        <w:t>Gases move from cell to cell by simple diffusion through cell walls and plasma membranes.</w:t>
      </w:r>
    </w:p>
    <w:p w14:paraId="5C25E4CA">
      <w:pPr>
        <w:pStyle w:val="style4099"/>
        <w:spacing w:before="200" w:after="100"/>
        <w:rPr/>
      </w:pPr>
      <w:r>
        <w:rPr>
          <w:b/>
          <w:bCs/>
          <w:color w:val="1f4e5f"/>
        </w:rPr>
        <w:t>Meaning and significance of gaseous exchange</w:t>
      </w:r>
    </w:p>
    <w:p w14:paraId="6749A744">
      <w:pPr>
        <w:pStyle w:val="style0"/>
        <w:spacing w:after="150"/>
        <w:rPr/>
      </w:pPr>
      <w:r>
        <w:t>Gaseous exchange is the process by which respiratory gases move across a respiratory surface, driven by diffusion along a concentration gradient between the exchange site and the surrounding environment.</w:t>
      </w:r>
    </w:p>
    <w:p w14:paraId="58A5232B">
      <w:pPr>
        <w:pStyle w:val="style0"/>
        <w:spacing w:after="150"/>
        <w:rPr/>
      </w:pPr>
      <w:r>
        <w:t>Significance to plants and the environment:</w:t>
      </w:r>
    </w:p>
    <w:p w14:paraId="3C68C411">
      <w:pPr>
        <w:pStyle w:val="style179"/>
        <w:numPr>
          <w:ilvl w:val="0"/>
          <w:numId w:val="1"/>
        </w:numPr>
        <w:spacing w:after="80"/>
        <w:rPr/>
      </w:pPr>
      <w:r>
        <w:t>Plants obtain CO₂ (needed for photosynthesis) and oxygen (needed for respiration) through gaseous exchange.</w:t>
      </w:r>
    </w:p>
    <w:p w14:paraId="6A5A36E2">
      <w:pPr>
        <w:pStyle w:val="style179"/>
        <w:numPr>
          <w:ilvl w:val="0"/>
          <w:numId w:val="1"/>
        </w:numPr>
        <w:spacing w:after="80"/>
        <w:rPr/>
      </w:pPr>
      <w:r>
        <w:t>Energy, water and CO₂ are the products of respiration; the energy drives other metabolic processes, while the CO₂ is re-used in photosynthesis during the day.</w:t>
      </w:r>
    </w:p>
    <w:p w14:paraId="547FA544">
      <w:pPr>
        <w:pStyle w:val="style179"/>
        <w:numPr>
          <w:ilvl w:val="0"/>
          <w:numId w:val="1"/>
        </w:numPr>
        <w:spacing w:after="80"/>
        <w:rPr/>
      </w:pPr>
      <w:r>
        <w:t>At night, CO₂ that cannot be used in photosynthesis is released to the atmosphere through the gaseous exchange sites.</w:t>
      </w:r>
    </w:p>
    <w:p w14:paraId="4A6A07FD">
      <w:pPr>
        <w:pStyle w:val="style179"/>
        <w:numPr>
          <w:ilvl w:val="0"/>
          <w:numId w:val="1"/>
        </w:numPr>
        <w:spacing w:after="80"/>
        <w:rPr/>
      </w:pPr>
      <w:r>
        <w:t>By absorbing atmospheric CO₂, plants help offset the build-up of this greenhouse gas — a tree absorbs an average of 10 kg of CO₂ per year during its first 20 years, which is why planting trees helps address climate change.</w:t>
      </w:r>
    </w:p>
    <w:p w14:paraId="9C0B2ED4">
      <w:pPr>
        <w:pStyle w:val="style0"/>
        <w:rPr/>
      </w:pPr>
      <w:r>
        <w:br w:type="page"/>
      </w:r>
    </w:p>
    <w:p w14:paraId="01B0D5DB">
      <w:pPr>
        <w:pStyle w:val="style4097"/>
        <w:spacing w:before="400" w:after="200"/>
        <w:rPr/>
      </w:pPr>
      <w:r>
        <w:rPr>
          <w:b/>
          <w:bCs/>
        </w:rPr>
        <w:t>A. Structure and Function of Gaseous Exchange Sites in Plants</w:t>
      </w:r>
    </w:p>
    <w:p w14:paraId="296DA4C9">
      <w:pPr>
        <w:pStyle w:val="style0"/>
        <w:spacing w:after="150"/>
        <w:rPr/>
      </w:pPr>
      <w:r>
        <w:t>Plants exchange gases at different sites depending on the part of the plant and its habitat. The main sites are: stomata (leaves), lenticels (woody stems/roots), cuticle (leaves/young stems) and pneumatophores (breathing roots of certain swamp plants). Aerenchyma tissue supports gaseous exchange in aquatic plants.</w:t>
      </w:r>
    </w:p>
    <w:p w14:paraId="72191F35">
      <w:pPr>
        <w:pStyle w:val="style4098"/>
        <w:spacing w:before="300" w:after="150"/>
        <w:rPr/>
      </w:pPr>
      <w:r>
        <w:rPr>
          <w:b/>
          <w:bCs/>
        </w:rPr>
        <w:t>Practical Activity 1: Investigating the Release of Carbon (IV) Oxide by Fresh Leaves</w:t>
      </w:r>
    </w:p>
    <w:p w14:paraId="E09A06F0">
      <w:pPr>
        <w:pStyle w:val="style0"/>
        <w:spacing w:before="150" w:after="60"/>
        <w:jc w:val="center"/>
        <w:rPr/>
      </w:pPr>
      <w:r>
        <w:rPr/>
        <w:drawing>
          <wp:inline distL="0" distT="0" distB="0" distR="0">
            <wp:extent cx="4572000" cy="2238375"/>
            <wp:effectExtent l="0" t="0" r="0" b="0"/>
            <wp:docPr id="1026" name="" descr=""/>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srcRect l="0" t="0" r="0" b="0"/>
                    <a:stretch/>
                  </pic:blipFill>
                  <pic:spPr>
                    <a:xfrm rot="0">
                      <a:off x="0" y="0"/>
                      <a:ext cx="4572000" cy="2238375"/>
                    </a:xfrm>
                    <a:prstGeom prst="rect"/>
                  </pic:spPr>
                </pic:pic>
              </a:graphicData>
            </a:graphic>
          </wp:inline>
        </w:drawing>
      </w:r>
    </w:p>
    <w:p w14:paraId="08C8D71A">
      <w:pPr>
        <w:pStyle w:val="style0"/>
        <w:spacing w:before="60" w:after="300"/>
        <w:jc w:val="center"/>
        <w:rPr/>
      </w:pPr>
      <w:r>
        <w:rPr>
          <w:i/>
          <w:iCs/>
          <w:color w:val="8b0000"/>
          <w:sz w:val="20"/>
          <w:szCs w:val="20"/>
        </w:rPr>
        <w:t>Figure 1: Set-up to investigate release of CO₂ by plants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2200"/>
        <w:gridCol w:w="7300"/>
      </w:tblGrid>
      <w:tr w14:paraId="38A5A31C">
        <w:trPr/>
        <w:tc>
          <w:tcPr>
            <w:tcW w:w="2200" w:type="dxa"/>
            <w:tcBorders/>
            <w:shd w:val="clear" w:color="auto" w:fill="1f4e5f"/>
            <w:tcMar>
              <w:top w:w="100" w:type="dxa"/>
              <w:left w:w="120" w:type="dxa"/>
              <w:bottom w:w="100" w:type="dxa"/>
              <w:right w:w="120" w:type="dxa"/>
            </w:tcMar>
            <w:vAlign w:val="center"/>
          </w:tcPr>
          <w:p w14:paraId="179EEA71">
            <w:pPr>
              <w:pStyle w:val="style0"/>
              <w:spacing w:after="60"/>
              <w:rPr/>
            </w:pPr>
            <w:r>
              <w:rPr>
                <w:b/>
                <w:bCs/>
                <w:color w:val="ffffff"/>
                <w:sz w:val="21"/>
                <w:szCs w:val="21"/>
              </w:rPr>
              <w:t>Aim</w:t>
            </w:r>
          </w:p>
        </w:tc>
        <w:tc>
          <w:tcPr>
            <w:tcW w:w="7300" w:type="dxa"/>
            <w:tcBorders/>
            <w:shd w:val="clear" w:color="auto" w:fill="ffffff"/>
            <w:tcMar>
              <w:top w:w="100" w:type="dxa"/>
              <w:left w:w="120" w:type="dxa"/>
              <w:bottom w:w="100" w:type="dxa"/>
              <w:right w:w="120" w:type="dxa"/>
            </w:tcMar>
            <w:vAlign w:val="center"/>
          </w:tcPr>
          <w:p w14:paraId="12984961">
            <w:pPr>
              <w:pStyle w:val="style0"/>
              <w:spacing w:after="60"/>
              <w:rPr/>
            </w:pPr>
            <w:r>
              <w:rPr>
                <w:sz w:val="21"/>
                <w:szCs w:val="21"/>
              </w:rPr>
              <w:t>To show that a fresh (living) leaf releases carbon (IV) oxide during respiration.</w:t>
            </w:r>
          </w:p>
        </w:tc>
      </w:tr>
      <w:tr w14:paraId="236B53C4">
        <w:tblPrEx/>
        <w:trPr/>
        <w:tc>
          <w:tcPr>
            <w:tcW w:w="2200" w:type="dxa"/>
            <w:tcBorders/>
            <w:shd w:val="clear" w:color="auto" w:fill="1f4e5f"/>
            <w:tcMar>
              <w:top w:w="100" w:type="dxa"/>
              <w:left w:w="120" w:type="dxa"/>
              <w:bottom w:w="100" w:type="dxa"/>
              <w:right w:w="120" w:type="dxa"/>
            </w:tcMar>
            <w:vAlign w:val="center"/>
          </w:tcPr>
          <w:p w14:paraId="B5A309A7">
            <w:pPr>
              <w:pStyle w:val="style0"/>
              <w:spacing w:after="60"/>
              <w:rPr/>
            </w:pPr>
            <w:r>
              <w:rPr>
                <w:b/>
                <w:bCs/>
                <w:color w:val="ffffff"/>
                <w:sz w:val="21"/>
                <w:szCs w:val="21"/>
              </w:rPr>
              <w:t>Requirements</w:t>
            </w:r>
          </w:p>
        </w:tc>
        <w:tc>
          <w:tcPr>
            <w:tcW w:w="7300" w:type="dxa"/>
            <w:tcBorders/>
            <w:shd w:val="clear" w:color="auto" w:fill="eaf1f4"/>
            <w:tcMar>
              <w:top w:w="100" w:type="dxa"/>
              <w:left w:w="120" w:type="dxa"/>
              <w:bottom w:w="100" w:type="dxa"/>
              <w:right w:w="120" w:type="dxa"/>
            </w:tcMar>
            <w:vAlign w:val="center"/>
          </w:tcPr>
          <w:p w14:paraId="36D9F844">
            <w:pPr>
              <w:pStyle w:val="style0"/>
              <w:spacing w:after="60"/>
              <w:rPr/>
            </w:pPr>
            <w:r>
              <w:rPr>
                <w:sz w:val="21"/>
                <w:szCs w:val="21"/>
              </w:rPr>
              <w:t>Fresh leaves (one boiled, one fresh), two boiling tubes (A and B), dilute bicarbonate indicator, aluminium foil, thread, corks.</w:t>
            </w:r>
          </w:p>
        </w:tc>
      </w:tr>
      <w:tr w14:paraId="A2C9458C">
        <w:tblPrEx/>
        <w:trPr/>
        <w:tc>
          <w:tcPr>
            <w:tcW w:w="2200" w:type="dxa"/>
            <w:tcBorders/>
            <w:shd w:val="clear" w:color="auto" w:fill="1f4e5f"/>
            <w:tcMar>
              <w:top w:w="100" w:type="dxa"/>
              <w:left w:w="120" w:type="dxa"/>
              <w:bottom w:w="100" w:type="dxa"/>
              <w:right w:w="120" w:type="dxa"/>
            </w:tcMar>
            <w:vAlign w:val="center"/>
          </w:tcPr>
          <w:p w14:paraId="8378A62D">
            <w:pPr>
              <w:pStyle w:val="style0"/>
              <w:spacing w:after="60"/>
              <w:rPr/>
            </w:pPr>
            <w:r>
              <w:rPr>
                <w:b/>
                <w:bCs/>
                <w:color w:val="ffffff"/>
                <w:sz w:val="21"/>
                <w:szCs w:val="21"/>
              </w:rPr>
              <w:t>Procedure (summary)</w:t>
            </w:r>
          </w:p>
        </w:tc>
        <w:tc>
          <w:tcPr>
            <w:tcW w:w="7300" w:type="dxa"/>
            <w:tcBorders/>
            <w:shd w:val="clear" w:color="auto" w:fill="ffffff"/>
            <w:tcMar>
              <w:top w:w="100" w:type="dxa"/>
              <w:left w:w="120" w:type="dxa"/>
              <w:bottom w:w="100" w:type="dxa"/>
              <w:right w:w="120" w:type="dxa"/>
            </w:tcMar>
            <w:vAlign w:val="center"/>
          </w:tcPr>
          <w:p w14:paraId="2845F012">
            <w:pPr>
              <w:pStyle w:val="style0"/>
              <w:spacing w:after="60"/>
              <w:rPr/>
            </w:pPr>
            <w:r>
              <w:rPr>
                <w:sz w:val="21"/>
                <w:szCs w:val="21"/>
              </w:rPr>
              <w:t>Put 4 ml of bicarbonate indicator in each boiling tube. Wrap each tube in aluminium foil. Suspend a fresh leaf in tube A and a boiled leaf in tube B above the indicator using thread; cork both tubes. Leave for at least one hour, then remove the foil and observe the colour of the indicator.</w:t>
            </w:r>
          </w:p>
        </w:tc>
      </w:tr>
      <w:tr w14:paraId="AA33B042">
        <w:tblPrEx/>
        <w:trPr/>
        <w:tc>
          <w:tcPr>
            <w:tcW w:w="2200" w:type="dxa"/>
            <w:tcBorders/>
            <w:shd w:val="clear" w:color="auto" w:fill="1f4e5f"/>
            <w:tcMar>
              <w:top w:w="100" w:type="dxa"/>
              <w:left w:w="120" w:type="dxa"/>
              <w:bottom w:w="100" w:type="dxa"/>
              <w:right w:w="120" w:type="dxa"/>
            </w:tcMar>
            <w:vAlign w:val="center"/>
          </w:tcPr>
          <w:p w14:paraId="77A9BC54">
            <w:pPr>
              <w:pStyle w:val="style0"/>
              <w:spacing w:after="60"/>
              <w:rPr/>
            </w:pPr>
            <w:r>
              <w:rPr>
                <w:b/>
                <w:bCs/>
                <w:color w:val="ffffff"/>
                <w:sz w:val="21"/>
                <w:szCs w:val="21"/>
              </w:rPr>
              <w:t>Observation</w:t>
            </w:r>
          </w:p>
        </w:tc>
        <w:tc>
          <w:tcPr>
            <w:tcW w:w="7300" w:type="dxa"/>
            <w:tcBorders/>
            <w:tcMar>
              <w:top w:w="100" w:type="dxa"/>
              <w:left w:w="120" w:type="dxa"/>
              <w:bottom w:w="100" w:type="dxa"/>
              <w:right w:w="120" w:type="dxa"/>
            </w:tcMar>
            <w:vAlign w:val="center"/>
          </w:tcPr>
          <w:p w14:paraId="7D930A57">
            <w:pPr>
              <w:pStyle w:val="style0"/>
              <w:rPr/>
            </w:pPr>
          </w:p>
          <w:tbl>
            <w:tblPr>
              <w:tblW w:w="6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2200"/>
              <w:gridCol w:w="4700"/>
            </w:tblGrid>
            <w:tr w14:paraId="6FF8090D">
              <w:trPr>
                <w:tblHeader/>
              </w:trPr>
              <w:tc>
                <w:tcPr>
                  <w:tcW w:w="2200" w:type="dxa"/>
                  <w:tcBorders/>
                  <w:shd w:val="clear" w:color="auto" w:fill="1f4e5f"/>
                  <w:tcMar>
                    <w:top w:w="60" w:type="dxa"/>
                    <w:left w:w="80" w:type="dxa"/>
                    <w:bottom w:w="60" w:type="dxa"/>
                    <w:right w:w="80" w:type="dxa"/>
                  </w:tcMar>
                </w:tcPr>
                <w:p w14:paraId="40C852C1">
                  <w:pPr>
                    <w:pStyle w:val="style0"/>
                    <w:rPr/>
                  </w:pPr>
                  <w:r>
                    <w:rPr>
                      <w:b/>
                      <w:bCs/>
                      <w:color w:val="ffffff"/>
                      <w:sz w:val="19"/>
                      <w:szCs w:val="19"/>
                    </w:rPr>
                    <w:t>Boiling tube</w:t>
                  </w:r>
                </w:p>
              </w:tc>
              <w:tc>
                <w:tcPr>
                  <w:tcW w:w="4700" w:type="dxa"/>
                  <w:tcBorders/>
                  <w:shd w:val="clear" w:color="auto" w:fill="1f4e5f"/>
                  <w:tcMar>
                    <w:top w:w="60" w:type="dxa"/>
                    <w:left w:w="80" w:type="dxa"/>
                    <w:bottom w:w="60" w:type="dxa"/>
                    <w:right w:w="80" w:type="dxa"/>
                  </w:tcMar>
                </w:tcPr>
                <w:p w14:paraId="B8F97B0F">
                  <w:pPr>
                    <w:pStyle w:val="style0"/>
                    <w:rPr/>
                  </w:pPr>
                  <w:r>
                    <w:rPr>
                      <w:b/>
                      <w:bCs/>
                      <w:color w:val="ffffff"/>
                      <w:sz w:val="19"/>
                      <w:szCs w:val="19"/>
                    </w:rPr>
                    <w:t>Result</w:t>
                  </w:r>
                </w:p>
              </w:tc>
            </w:tr>
            <w:tr w14:paraId="DC67E39C">
              <w:tblPrEx/>
              <w:trPr/>
              <w:tc>
                <w:tcPr>
                  <w:tcW w:w="2200" w:type="dxa"/>
                  <w:tcBorders/>
                  <w:shd w:val="clear" w:color="auto" w:fill="ffffff"/>
                  <w:tcMar>
                    <w:top w:w="60" w:type="dxa"/>
                    <w:left w:w="80" w:type="dxa"/>
                    <w:bottom w:w="60" w:type="dxa"/>
                    <w:right w:w="80" w:type="dxa"/>
                  </w:tcMar>
                </w:tcPr>
                <w:p w14:paraId="B571F0E7">
                  <w:pPr>
                    <w:pStyle w:val="style0"/>
                    <w:rPr/>
                  </w:pPr>
                  <w:r>
                    <w:rPr>
                      <w:sz w:val="19"/>
                      <w:szCs w:val="19"/>
                    </w:rPr>
                    <w:t>A — fresh leaf</w:t>
                  </w:r>
                </w:p>
              </w:tc>
              <w:tc>
                <w:tcPr>
                  <w:tcW w:w="4700" w:type="dxa"/>
                  <w:tcBorders/>
                  <w:shd w:val="clear" w:color="auto" w:fill="ffffff"/>
                  <w:tcMar>
                    <w:top w:w="60" w:type="dxa"/>
                    <w:left w:w="80" w:type="dxa"/>
                    <w:bottom w:w="60" w:type="dxa"/>
                    <w:right w:w="80" w:type="dxa"/>
                  </w:tcMar>
                </w:tcPr>
                <w:p w14:paraId="9086D284">
                  <w:pPr>
                    <w:pStyle w:val="style0"/>
                    <w:rPr/>
                  </w:pPr>
                  <w:r>
                    <w:rPr>
                      <w:sz w:val="19"/>
                      <w:szCs w:val="19"/>
                    </w:rPr>
                    <w:t>Red bicarbonate indicator turns yellow</w:t>
                  </w:r>
                </w:p>
              </w:tc>
            </w:tr>
            <w:tr w14:paraId="7D4D8B73">
              <w:tblPrEx/>
              <w:trPr/>
              <w:tc>
                <w:tcPr>
                  <w:tcW w:w="2200" w:type="dxa"/>
                  <w:tcBorders/>
                  <w:shd w:val="clear" w:color="auto" w:fill="eaf1f4"/>
                  <w:tcMar>
                    <w:top w:w="60" w:type="dxa"/>
                    <w:left w:w="80" w:type="dxa"/>
                    <w:bottom w:w="60" w:type="dxa"/>
                    <w:right w:w="80" w:type="dxa"/>
                  </w:tcMar>
                </w:tcPr>
                <w:p w14:paraId="EA1ED019">
                  <w:pPr>
                    <w:pStyle w:val="style0"/>
                    <w:rPr/>
                  </w:pPr>
                  <w:r>
                    <w:rPr>
                      <w:sz w:val="19"/>
                      <w:szCs w:val="19"/>
                    </w:rPr>
                    <w:t>B — boiled leaf</w:t>
                  </w:r>
                </w:p>
              </w:tc>
              <w:tc>
                <w:tcPr>
                  <w:tcW w:w="4700" w:type="dxa"/>
                  <w:tcBorders/>
                  <w:shd w:val="clear" w:color="auto" w:fill="eaf1f4"/>
                  <w:tcMar>
                    <w:top w:w="60" w:type="dxa"/>
                    <w:left w:w="80" w:type="dxa"/>
                    <w:bottom w:w="60" w:type="dxa"/>
                    <w:right w:w="80" w:type="dxa"/>
                  </w:tcMar>
                </w:tcPr>
                <w:p w14:paraId="3A7BDFAE">
                  <w:pPr>
                    <w:pStyle w:val="style0"/>
                    <w:rPr/>
                  </w:pPr>
                  <w:r>
                    <w:rPr>
                      <w:sz w:val="19"/>
                      <w:szCs w:val="19"/>
                    </w:rPr>
                    <w:t>Indicator remains red (no colour change)</w:t>
                  </w:r>
                </w:p>
              </w:tc>
            </w:tr>
          </w:tbl>
          <w:p w14:paraId="817B2264">
            <w:pPr>
              <w:pStyle w:val="style0"/>
              <w:rPr/>
            </w:pPr>
          </w:p>
        </w:tc>
      </w:tr>
      <w:tr w14:paraId="56B9B841">
        <w:tblPrEx/>
        <w:trPr/>
        <w:tc>
          <w:tcPr>
            <w:tcW w:w="2200" w:type="dxa"/>
            <w:tcBorders/>
            <w:shd w:val="clear" w:color="auto" w:fill="1f4e5f"/>
            <w:tcMar>
              <w:top w:w="100" w:type="dxa"/>
              <w:left w:w="120" w:type="dxa"/>
              <w:bottom w:w="100" w:type="dxa"/>
              <w:right w:w="120" w:type="dxa"/>
            </w:tcMar>
            <w:vAlign w:val="center"/>
          </w:tcPr>
          <w:p w14:paraId="1F75ABC9">
            <w:pPr>
              <w:pStyle w:val="style0"/>
              <w:spacing w:after="60"/>
              <w:rPr/>
            </w:pPr>
            <w:r>
              <w:rPr>
                <w:b/>
                <w:bCs/>
                <w:color w:val="ffffff"/>
                <w:sz w:val="21"/>
                <w:szCs w:val="21"/>
              </w:rPr>
              <w:t>Conclusion</w:t>
            </w:r>
          </w:p>
        </w:tc>
        <w:tc>
          <w:tcPr>
            <w:tcW w:w="7300" w:type="dxa"/>
            <w:tcBorders/>
            <w:shd w:val="clear" w:color="auto" w:fill="ffffff"/>
            <w:tcMar>
              <w:top w:w="100" w:type="dxa"/>
              <w:left w:w="120" w:type="dxa"/>
              <w:bottom w:w="100" w:type="dxa"/>
              <w:right w:w="120" w:type="dxa"/>
            </w:tcMar>
            <w:vAlign w:val="center"/>
          </w:tcPr>
          <w:p w14:paraId="4DE63695">
            <w:pPr>
              <w:pStyle w:val="style0"/>
              <w:spacing w:after="60"/>
              <w:rPr/>
            </w:pPr>
            <w:r>
              <w:rPr>
                <w:sz w:val="21"/>
                <w:szCs w:val="21"/>
              </w:rPr>
              <w:t>The fresh leaf respired and released CO₂, which dissolved in the indicator, lowering its pH and turning it yellow (acidic). The boiled leaf's cells and enzymes were destroyed by heat, so no respiration occurred and the indicator stayed red. Aluminium foil excluded light so that photosynthesis (which would remove CO₂) could not mask the result.</w:t>
            </w:r>
          </w:p>
        </w:tc>
      </w:tr>
    </w:tbl>
    <w:p w14:paraId="99FDCCE6">
      <w:pPr>
        <w:pStyle w:val="style0"/>
        <w:spacing w:after="200"/>
        <w:rPr/>
      </w:pPr>
    </w:p>
    <w:p w14:paraId="5B9391D2">
      <w:pPr>
        <w:pStyle w:val="style4098"/>
        <w:spacing w:before="300" w:after="150"/>
        <w:rPr/>
      </w:pPr>
      <w:r>
        <w:rPr>
          <w:b/>
          <w:bCs/>
        </w:rPr>
        <w:t>Practical Activity 2: Investigating the Release of Oxygen by Plants</w:t>
      </w:r>
    </w:p>
    <w:p w14:paraId="52721B83">
      <w:pPr>
        <w:pStyle w:val="style0"/>
        <w:spacing w:before="150" w:after="60"/>
        <w:jc w:val="center"/>
        <w:rPr/>
      </w:pPr>
      <w:r>
        <w:rPr/>
        <w:drawing>
          <wp:inline distL="0" distT="0" distB="0" distR="0">
            <wp:extent cx="4572000" cy="2667000"/>
            <wp:effectExtent l="0" t="0" r="0" b="0"/>
            <wp:docPr id="1027" name="" descr=""/>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cstate="print"/>
                    <a:srcRect l="0" t="0" r="0" b="0"/>
                    <a:stretch/>
                  </pic:blipFill>
                  <pic:spPr>
                    <a:xfrm rot="0">
                      <a:off x="0" y="0"/>
                      <a:ext cx="4572000" cy="2667000"/>
                    </a:xfrm>
                    <a:prstGeom prst="rect"/>
                  </pic:spPr>
                </pic:pic>
              </a:graphicData>
            </a:graphic>
          </wp:inline>
        </w:drawing>
      </w:r>
    </w:p>
    <w:p w14:paraId="C14F1A04">
      <w:pPr>
        <w:pStyle w:val="style0"/>
        <w:spacing w:before="60" w:after="300"/>
        <w:jc w:val="center"/>
        <w:rPr/>
      </w:pPr>
      <w:r>
        <w:rPr>
          <w:i/>
          <w:iCs/>
          <w:color w:val="8b0000"/>
          <w:sz w:val="20"/>
          <w:szCs w:val="20"/>
        </w:rPr>
        <w:t>Figure 2: Set-up to investigate release of oxygen by a water plant</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2200"/>
        <w:gridCol w:w="7300"/>
      </w:tblGrid>
      <w:tr w14:paraId="37F82BA7">
        <w:trPr/>
        <w:tc>
          <w:tcPr>
            <w:tcW w:w="2200" w:type="dxa"/>
            <w:tcBorders/>
            <w:shd w:val="clear" w:color="auto" w:fill="1f4e5f"/>
            <w:tcMar>
              <w:top w:w="100" w:type="dxa"/>
              <w:left w:w="120" w:type="dxa"/>
              <w:bottom w:w="100" w:type="dxa"/>
              <w:right w:w="120" w:type="dxa"/>
            </w:tcMar>
            <w:vAlign w:val="center"/>
          </w:tcPr>
          <w:p w14:paraId="E10781C8">
            <w:pPr>
              <w:pStyle w:val="style0"/>
              <w:spacing w:after="60"/>
              <w:rPr/>
            </w:pPr>
            <w:r>
              <w:rPr>
                <w:b/>
                <w:bCs/>
                <w:color w:val="ffffff"/>
                <w:sz w:val="21"/>
                <w:szCs w:val="21"/>
              </w:rPr>
              <w:t>Aim</w:t>
            </w:r>
          </w:p>
        </w:tc>
        <w:tc>
          <w:tcPr>
            <w:tcW w:w="7300" w:type="dxa"/>
            <w:tcBorders/>
            <w:shd w:val="clear" w:color="auto" w:fill="ffffff"/>
            <w:tcMar>
              <w:top w:w="100" w:type="dxa"/>
              <w:left w:w="120" w:type="dxa"/>
              <w:bottom w:w="100" w:type="dxa"/>
              <w:right w:w="120" w:type="dxa"/>
            </w:tcMar>
            <w:vAlign w:val="center"/>
          </w:tcPr>
          <w:p w14:paraId="5F582AEB">
            <w:pPr>
              <w:pStyle w:val="style0"/>
              <w:spacing w:after="60"/>
              <w:rPr/>
            </w:pPr>
            <w:r>
              <w:rPr>
                <w:sz w:val="21"/>
                <w:szCs w:val="21"/>
              </w:rPr>
              <w:t>To show that a plant releases oxygen during photosynthesis.</w:t>
            </w:r>
          </w:p>
        </w:tc>
      </w:tr>
      <w:tr w14:paraId="855EB82B">
        <w:tblPrEx/>
        <w:trPr/>
        <w:tc>
          <w:tcPr>
            <w:tcW w:w="2200" w:type="dxa"/>
            <w:tcBorders/>
            <w:shd w:val="clear" w:color="auto" w:fill="1f4e5f"/>
            <w:tcMar>
              <w:top w:w="100" w:type="dxa"/>
              <w:left w:w="120" w:type="dxa"/>
              <w:bottom w:w="100" w:type="dxa"/>
              <w:right w:w="120" w:type="dxa"/>
            </w:tcMar>
            <w:vAlign w:val="center"/>
          </w:tcPr>
          <w:p w14:paraId="A74F4D25">
            <w:pPr>
              <w:pStyle w:val="style0"/>
              <w:spacing w:after="60"/>
              <w:rPr/>
            </w:pPr>
            <w:r>
              <w:rPr>
                <w:b/>
                <w:bCs/>
                <w:color w:val="ffffff"/>
                <w:sz w:val="21"/>
                <w:szCs w:val="21"/>
              </w:rPr>
              <w:t>Requirements</w:t>
            </w:r>
          </w:p>
        </w:tc>
        <w:tc>
          <w:tcPr>
            <w:tcW w:w="7300" w:type="dxa"/>
            <w:tcBorders/>
            <w:shd w:val="clear" w:color="auto" w:fill="eaf1f4"/>
            <w:tcMar>
              <w:top w:w="100" w:type="dxa"/>
              <w:left w:w="120" w:type="dxa"/>
              <w:bottom w:w="100" w:type="dxa"/>
              <w:right w:w="120" w:type="dxa"/>
            </w:tcMar>
            <w:vAlign w:val="center"/>
          </w:tcPr>
          <w:p w14:paraId="BD090536">
            <w:pPr>
              <w:pStyle w:val="style0"/>
              <w:spacing w:after="60"/>
              <w:rPr/>
            </w:pPr>
            <w:r>
              <w:rPr>
                <w:sz w:val="21"/>
                <w:szCs w:val="21"/>
              </w:rPr>
              <w:t>A water plant, glass funnel, beaker, boiling/test tube, wooden blocks, wooden splint, sodium hydrogen carbonate, water.</w:t>
            </w:r>
          </w:p>
        </w:tc>
      </w:tr>
      <w:tr w14:paraId="C84A34DE">
        <w:tblPrEx/>
        <w:trPr/>
        <w:tc>
          <w:tcPr>
            <w:tcW w:w="2200" w:type="dxa"/>
            <w:tcBorders/>
            <w:shd w:val="clear" w:color="auto" w:fill="1f4e5f"/>
            <w:tcMar>
              <w:top w:w="100" w:type="dxa"/>
              <w:left w:w="120" w:type="dxa"/>
              <w:bottom w:w="100" w:type="dxa"/>
              <w:right w:w="120" w:type="dxa"/>
            </w:tcMar>
            <w:vAlign w:val="center"/>
          </w:tcPr>
          <w:p w14:paraId="14318E6D">
            <w:pPr>
              <w:pStyle w:val="style0"/>
              <w:spacing w:after="60"/>
              <w:rPr/>
            </w:pPr>
            <w:r>
              <w:rPr>
                <w:b/>
                <w:bCs/>
                <w:color w:val="ffffff"/>
                <w:sz w:val="21"/>
                <w:szCs w:val="21"/>
              </w:rPr>
              <w:t>Procedure (summary)</w:t>
            </w:r>
          </w:p>
        </w:tc>
        <w:tc>
          <w:tcPr>
            <w:tcW w:w="7300" w:type="dxa"/>
            <w:tcBorders/>
            <w:shd w:val="clear" w:color="auto" w:fill="ffffff"/>
            <w:tcMar>
              <w:top w:w="100" w:type="dxa"/>
              <w:left w:w="120" w:type="dxa"/>
              <w:bottom w:w="100" w:type="dxa"/>
              <w:right w:w="120" w:type="dxa"/>
            </w:tcMar>
            <w:vAlign w:val="center"/>
          </w:tcPr>
          <w:p w14:paraId="733A1D0E">
            <w:pPr>
              <w:pStyle w:val="style0"/>
              <w:spacing w:after="60"/>
              <w:rPr/>
            </w:pPr>
            <w:r>
              <w:rPr>
                <w:sz w:val="21"/>
                <w:szCs w:val="21"/>
              </w:rPr>
              <w:t>Set up as in Figure 2: place the water plant under an inverted glass funnel in a beaker of water containing dissolved sodium hydrogen carbonate (to supply extra CO₂), with a water-filled test tube inverted over the funnel stem to collect gas. Place the set-up in sunlight until enough gas collects in the test tube, then test the gas with a glowing splint.</w:t>
            </w:r>
          </w:p>
        </w:tc>
      </w:tr>
      <w:tr w14:paraId="FD0E7B0F">
        <w:tblPrEx/>
        <w:trPr/>
        <w:tc>
          <w:tcPr>
            <w:tcW w:w="2200" w:type="dxa"/>
            <w:tcBorders/>
            <w:shd w:val="clear" w:color="auto" w:fill="1f4e5f"/>
            <w:tcMar>
              <w:top w:w="100" w:type="dxa"/>
              <w:left w:w="120" w:type="dxa"/>
              <w:bottom w:w="100" w:type="dxa"/>
              <w:right w:w="120" w:type="dxa"/>
            </w:tcMar>
            <w:vAlign w:val="center"/>
          </w:tcPr>
          <w:p w14:paraId="02849CF0">
            <w:pPr>
              <w:pStyle w:val="style0"/>
              <w:spacing w:after="60"/>
              <w:rPr/>
            </w:pPr>
            <w:r>
              <w:rPr>
                <w:b/>
                <w:bCs/>
                <w:color w:val="ffffff"/>
                <w:sz w:val="21"/>
                <w:szCs w:val="21"/>
              </w:rPr>
              <w:t>Observation</w:t>
            </w:r>
          </w:p>
        </w:tc>
        <w:tc>
          <w:tcPr>
            <w:tcW w:w="7300" w:type="dxa"/>
            <w:tcBorders/>
            <w:shd w:val="clear" w:color="auto" w:fill="eaf1f4"/>
            <w:tcMar>
              <w:top w:w="100" w:type="dxa"/>
              <w:left w:w="120" w:type="dxa"/>
              <w:bottom w:w="100" w:type="dxa"/>
              <w:right w:w="120" w:type="dxa"/>
            </w:tcMar>
            <w:vAlign w:val="center"/>
          </w:tcPr>
          <w:p w14:paraId="D8B75D13">
            <w:pPr>
              <w:pStyle w:val="style0"/>
              <w:spacing w:after="60"/>
              <w:rPr/>
            </w:pPr>
            <w:r>
              <w:rPr>
                <w:sz w:val="21"/>
                <w:szCs w:val="21"/>
              </w:rPr>
              <w:t>Gas bubbles collect in the inverted test tube. A glowing splint inserted into the collected gas re-lights (bursts into flame).</w:t>
            </w:r>
          </w:p>
        </w:tc>
      </w:tr>
      <w:tr w14:paraId="3FB7AEFF">
        <w:tblPrEx/>
        <w:trPr/>
        <w:tc>
          <w:tcPr>
            <w:tcW w:w="2200" w:type="dxa"/>
            <w:tcBorders/>
            <w:shd w:val="clear" w:color="auto" w:fill="1f4e5f"/>
            <w:tcMar>
              <w:top w:w="100" w:type="dxa"/>
              <w:left w:w="120" w:type="dxa"/>
              <w:bottom w:w="100" w:type="dxa"/>
              <w:right w:w="120" w:type="dxa"/>
            </w:tcMar>
            <w:vAlign w:val="center"/>
          </w:tcPr>
          <w:p w14:paraId="90293F5E">
            <w:pPr>
              <w:pStyle w:val="style0"/>
              <w:spacing w:after="60"/>
              <w:rPr/>
            </w:pPr>
            <w:r>
              <w:rPr>
                <w:b/>
                <w:bCs/>
                <w:color w:val="ffffff"/>
                <w:sz w:val="21"/>
                <w:szCs w:val="21"/>
              </w:rPr>
              <w:t>Conclusion</w:t>
            </w:r>
          </w:p>
        </w:tc>
        <w:tc>
          <w:tcPr>
            <w:tcW w:w="7300" w:type="dxa"/>
            <w:tcBorders/>
            <w:shd w:val="clear" w:color="auto" w:fill="ffffff"/>
            <w:tcMar>
              <w:top w:w="100" w:type="dxa"/>
              <w:left w:w="120" w:type="dxa"/>
              <w:bottom w:w="100" w:type="dxa"/>
              <w:right w:w="120" w:type="dxa"/>
            </w:tcMar>
            <w:vAlign w:val="center"/>
          </w:tcPr>
          <w:p w14:paraId="CFACC435">
            <w:pPr>
              <w:pStyle w:val="style0"/>
              <w:spacing w:after="60"/>
              <w:rPr/>
            </w:pPr>
            <w:r>
              <w:rPr>
                <w:sz w:val="21"/>
                <w:szCs w:val="21"/>
              </w:rPr>
              <w:t>The gas collected is oxygen, produced as a by-product of photosynthesis by the water plant in the presence of sunlight. The re-lighting splint is the standard test confirming oxygen.</w:t>
            </w:r>
          </w:p>
        </w:tc>
      </w:tr>
    </w:tbl>
    <w:p w14:paraId="3C80D702">
      <w:pPr>
        <w:pStyle w:val="style0"/>
        <w:rPr/>
      </w:pPr>
      <w:r>
        <w:br w:type="page"/>
      </w:r>
    </w:p>
    <w:p w14:paraId="60CB42D4">
      <w:pPr>
        <w:pStyle w:val="style4098"/>
        <w:spacing w:before="300" w:after="150"/>
        <w:rPr/>
      </w:pPr>
      <w:r>
        <w:rPr>
          <w:b/>
          <w:bCs/>
        </w:rPr>
        <w:t>Adaptations of Gaseous Exchange Sites</w:t>
      </w:r>
    </w:p>
    <w:p w14:paraId="C4167A5F">
      <w:pPr>
        <w:pStyle w:val="style0"/>
        <w:spacing w:after="150"/>
        <w:rPr/>
      </w:pPr>
      <w:r>
        <w:t>Plants have different gaseous exchange sites depending on the medium of exchange: stomata (leaves), lenticels (woody stems and roots), cuticle, and pneumatophores (certain swamp/mangrove plants).</w:t>
      </w:r>
    </w:p>
    <w:p w14:paraId="679580B4">
      <w:pPr>
        <w:pStyle w:val="style4099"/>
        <w:spacing w:before="200" w:after="100"/>
        <w:rPr/>
      </w:pPr>
      <w:r>
        <w:rPr>
          <w:b/>
          <w:bCs/>
          <w:color w:val="1f4e5f"/>
        </w:rPr>
        <w:t>(a) Stomata</w:t>
      </w:r>
    </w:p>
    <w:p w14:paraId="CA7DA218">
      <w:pPr>
        <w:pStyle w:val="style0"/>
        <w:spacing w:before="150" w:after="60"/>
        <w:jc w:val="center"/>
        <w:rPr/>
      </w:pPr>
      <w:r>
        <w:rPr/>
        <w:drawing>
          <wp:inline distL="0" distT="0" distB="0" distR="0">
            <wp:extent cx="4572000" cy="2162175"/>
            <wp:effectExtent l="0" t="0" r="0" b="0"/>
            <wp:docPr id="1028" name="" descr=""/>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4" cstate="print"/>
                    <a:srcRect l="0" t="0" r="0" b="0"/>
                    <a:stretch/>
                  </pic:blipFill>
                  <pic:spPr>
                    <a:xfrm rot="0">
                      <a:off x="0" y="0"/>
                      <a:ext cx="4572000" cy="2162175"/>
                    </a:xfrm>
                    <a:prstGeom prst="rect"/>
                  </pic:spPr>
                </pic:pic>
              </a:graphicData>
            </a:graphic>
          </wp:inline>
        </w:drawing>
      </w:r>
    </w:p>
    <w:p w14:paraId="62575862">
      <w:pPr>
        <w:pStyle w:val="style0"/>
        <w:spacing w:before="60" w:after="300"/>
        <w:jc w:val="center"/>
        <w:rPr/>
      </w:pPr>
      <w:r>
        <w:rPr>
          <w:i/>
          <w:iCs/>
          <w:color w:val="8b0000"/>
          <w:sz w:val="20"/>
          <w:szCs w:val="20"/>
        </w:rPr>
        <w:t>Figure 3: Stomata structure — (a) open stoma and (b) closed stoma</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2200"/>
        <w:gridCol w:w="7300"/>
      </w:tblGrid>
      <w:tr w14:paraId="1D2AC91C">
        <w:trPr/>
        <w:tc>
          <w:tcPr>
            <w:tcW w:w="2200" w:type="dxa"/>
            <w:tcBorders/>
            <w:shd w:val="clear" w:color="auto" w:fill="1f4e5f"/>
            <w:tcMar>
              <w:top w:w="100" w:type="dxa"/>
              <w:left w:w="120" w:type="dxa"/>
              <w:bottom w:w="100" w:type="dxa"/>
              <w:right w:w="120" w:type="dxa"/>
            </w:tcMar>
            <w:vAlign w:val="center"/>
          </w:tcPr>
          <w:p w14:paraId="F1E79FD4">
            <w:pPr>
              <w:pStyle w:val="style0"/>
              <w:spacing w:after="60"/>
              <w:rPr/>
            </w:pPr>
            <w:r>
              <w:rPr>
                <w:b/>
                <w:bCs/>
                <w:color w:val="ffffff"/>
                <w:sz w:val="21"/>
                <w:szCs w:val="21"/>
              </w:rPr>
              <w:t>Activity</w:t>
            </w:r>
          </w:p>
        </w:tc>
        <w:tc>
          <w:tcPr>
            <w:tcW w:w="7300" w:type="dxa"/>
            <w:tcBorders/>
            <w:shd w:val="clear" w:color="auto" w:fill="ffffff"/>
            <w:tcMar>
              <w:top w:w="100" w:type="dxa"/>
              <w:left w:w="120" w:type="dxa"/>
              <w:bottom w:w="100" w:type="dxa"/>
              <w:right w:w="120" w:type="dxa"/>
            </w:tcMar>
            <w:vAlign w:val="center"/>
          </w:tcPr>
          <w:p w14:paraId="688E142D">
            <w:pPr>
              <w:pStyle w:val="style0"/>
              <w:spacing w:after="60"/>
              <w:rPr/>
            </w:pPr>
            <w:r>
              <w:rPr>
                <w:sz w:val="21"/>
                <w:szCs w:val="21"/>
              </w:rPr>
              <w:t>Peel the lower epidermis of a Bryophyllum/Tradescantia leaf, mount on a slide with water, stain with methylene blue, and observe under a light microscope (low then high power).</w:t>
            </w:r>
          </w:p>
        </w:tc>
      </w:tr>
      <w:tr w14:paraId="FA4A8178">
        <w:tblPrEx/>
        <w:trPr/>
        <w:tc>
          <w:tcPr>
            <w:tcW w:w="2200" w:type="dxa"/>
            <w:tcBorders/>
            <w:shd w:val="clear" w:color="auto" w:fill="1f4e5f"/>
            <w:tcMar>
              <w:top w:w="100" w:type="dxa"/>
              <w:left w:w="120" w:type="dxa"/>
              <w:bottom w:w="100" w:type="dxa"/>
              <w:right w:w="120" w:type="dxa"/>
            </w:tcMar>
            <w:vAlign w:val="center"/>
          </w:tcPr>
          <w:p w14:paraId="5F05983D">
            <w:pPr>
              <w:pStyle w:val="style0"/>
              <w:spacing w:after="60"/>
              <w:rPr/>
            </w:pPr>
            <w:r>
              <w:rPr>
                <w:b/>
                <w:bCs/>
                <w:color w:val="ffffff"/>
                <w:sz w:val="21"/>
                <w:szCs w:val="21"/>
              </w:rPr>
              <w:t>Observation</w:t>
            </w:r>
          </w:p>
        </w:tc>
        <w:tc>
          <w:tcPr>
            <w:tcW w:w="7300" w:type="dxa"/>
            <w:tcBorders/>
            <w:shd w:val="clear" w:color="auto" w:fill="eaf1f4"/>
            <w:tcMar>
              <w:top w:w="100" w:type="dxa"/>
              <w:left w:w="120" w:type="dxa"/>
              <w:bottom w:w="100" w:type="dxa"/>
              <w:right w:w="120" w:type="dxa"/>
            </w:tcMar>
            <w:vAlign w:val="center"/>
          </w:tcPr>
          <w:p w14:paraId="C552C45E">
            <w:pPr>
              <w:pStyle w:val="style0"/>
              <w:spacing w:after="60"/>
              <w:rPr/>
            </w:pPr>
            <w:r>
              <w:rPr>
                <w:sz w:val="21"/>
                <w:szCs w:val="21"/>
              </w:rPr>
              <w:t>Tiny pores (stomata) are seen, each bordered by a pair of bean-shaped guard cells that (unlike other epidermal cells) contain chloroplasts.</w:t>
            </w:r>
          </w:p>
        </w:tc>
      </w:tr>
      <w:tr w14:paraId="7C991CE9">
        <w:tblPrEx/>
        <w:trPr/>
        <w:tc>
          <w:tcPr>
            <w:tcW w:w="2200" w:type="dxa"/>
            <w:tcBorders/>
            <w:shd w:val="clear" w:color="auto" w:fill="1f4e5f"/>
            <w:tcMar>
              <w:top w:w="100" w:type="dxa"/>
              <w:left w:w="120" w:type="dxa"/>
              <w:bottom w:w="100" w:type="dxa"/>
              <w:right w:w="120" w:type="dxa"/>
            </w:tcMar>
            <w:vAlign w:val="center"/>
          </w:tcPr>
          <w:p w14:paraId="990C46E9">
            <w:pPr>
              <w:pStyle w:val="style0"/>
              <w:spacing w:after="60"/>
              <w:rPr/>
            </w:pPr>
            <w:r>
              <w:rPr>
                <w:b/>
                <w:bCs/>
                <w:color w:val="ffffff"/>
                <w:sz w:val="21"/>
                <w:szCs w:val="21"/>
              </w:rPr>
              <w:t>Structure/Function notes</w:t>
            </w:r>
          </w:p>
        </w:tc>
        <w:tc>
          <w:tcPr>
            <w:tcW w:w="7300" w:type="dxa"/>
            <w:tcBorders/>
            <w:shd w:val="clear" w:color="auto" w:fill="ffffff"/>
            <w:tcMar>
              <w:top w:w="100" w:type="dxa"/>
              <w:left w:w="120" w:type="dxa"/>
              <w:bottom w:w="100" w:type="dxa"/>
              <w:right w:w="120" w:type="dxa"/>
            </w:tcMar>
            <w:vAlign w:val="center"/>
          </w:tcPr>
          <w:p w14:paraId="310438FE">
            <w:pPr>
              <w:pStyle w:val="style0"/>
              <w:spacing w:after="60"/>
              <w:rPr/>
            </w:pPr>
            <w:r>
              <w:rPr>
                <w:sz w:val="21"/>
                <w:szCs w:val="21"/>
              </w:rPr>
              <w:t>Guard cells occur in pairs; their outer wall (facing away from the pore) is thin and elastic, while the inner wall (facing the pore) is thick and less elastic. When guard cells become turgid, the thin outer walls stretch more than the thick inner walls, bowing outward and opening the stoma. Stomata occur mainly on the lower leaf surface, are more numerous where light is less direct, and generally open by day and close at night (though some plants show the reverse rhythm).</w:t>
            </w:r>
          </w:p>
        </w:tc>
      </w:tr>
      <w:tr w14:paraId="7B0262FD">
        <w:tblPrEx/>
        <w:trPr/>
        <w:tc>
          <w:tcPr>
            <w:tcW w:w="2200" w:type="dxa"/>
            <w:tcBorders/>
            <w:shd w:val="clear" w:color="auto" w:fill="1f4e5f"/>
            <w:tcMar>
              <w:top w:w="100" w:type="dxa"/>
              <w:left w:w="120" w:type="dxa"/>
              <w:bottom w:w="100" w:type="dxa"/>
              <w:right w:w="120" w:type="dxa"/>
            </w:tcMar>
            <w:vAlign w:val="center"/>
          </w:tcPr>
          <w:p w14:paraId="DC5CD610">
            <w:pPr>
              <w:pStyle w:val="style0"/>
              <w:spacing w:after="60"/>
              <w:rPr/>
            </w:pPr>
            <w:r>
              <w:rPr>
                <w:b/>
                <w:bCs/>
                <w:color w:val="ffffff"/>
                <w:sz w:val="21"/>
                <w:szCs w:val="21"/>
              </w:rPr>
              <w:t>Conclusion</w:t>
            </w:r>
          </w:p>
        </w:tc>
        <w:tc>
          <w:tcPr>
            <w:tcW w:w="7300" w:type="dxa"/>
            <w:tcBorders/>
            <w:shd w:val="clear" w:color="auto" w:fill="eaf1f4"/>
            <w:tcMar>
              <w:top w:w="100" w:type="dxa"/>
              <w:left w:w="120" w:type="dxa"/>
              <w:bottom w:w="100" w:type="dxa"/>
              <w:right w:w="120" w:type="dxa"/>
            </w:tcMar>
            <w:vAlign w:val="center"/>
          </w:tcPr>
          <w:p w14:paraId="B6DF86C8">
            <w:pPr>
              <w:pStyle w:val="style0"/>
              <w:spacing w:after="60"/>
              <w:rPr/>
            </w:pPr>
            <w:r>
              <w:rPr>
                <w:sz w:val="21"/>
                <w:szCs w:val="21"/>
              </w:rPr>
              <w:t>Stomata are the main gaseous exchange sites in leaves; their guard cells actively regulate the pore size to balance gaseous exchange against water loss.</w:t>
            </w:r>
          </w:p>
        </w:tc>
      </w:tr>
    </w:tbl>
    <w:p w14:paraId="BB96E5A9">
      <w:pPr>
        <w:pStyle w:val="style4099"/>
        <w:spacing w:before="200" w:after="100"/>
        <w:rPr/>
      </w:pPr>
      <w:r>
        <w:rPr>
          <w:b/>
          <w:bCs/>
          <w:color w:val="1f4e5f"/>
        </w:rPr>
        <w:t>(b) Lenticels</w:t>
      </w:r>
    </w:p>
    <w:p w14:paraId="A8AF09B5">
      <w:pPr>
        <w:pStyle w:val="style0"/>
        <w:spacing w:before="150" w:after="60"/>
        <w:jc w:val="center"/>
        <w:rPr/>
      </w:pPr>
      <w:r>
        <w:rPr/>
        <w:drawing>
          <wp:inline distL="0" distT="0" distB="0" distR="0">
            <wp:extent cx="4572000" cy="2085975"/>
            <wp:effectExtent l="0" t="0" r="0" b="0"/>
            <wp:docPr id="1029" name="" descr=""/>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5" cstate="print"/>
                    <a:srcRect l="0" t="0" r="0" b="0"/>
                    <a:stretch/>
                  </pic:blipFill>
                  <pic:spPr>
                    <a:xfrm rot="0">
                      <a:off x="0" y="0"/>
                      <a:ext cx="4572000" cy="2085975"/>
                    </a:xfrm>
                    <a:prstGeom prst="rect"/>
                  </pic:spPr>
                </pic:pic>
              </a:graphicData>
            </a:graphic>
          </wp:inline>
        </w:drawing>
      </w:r>
    </w:p>
    <w:p w14:paraId="290EE839">
      <w:pPr>
        <w:pStyle w:val="style0"/>
        <w:spacing w:before="60" w:after="300"/>
        <w:jc w:val="center"/>
        <w:rPr/>
      </w:pPr>
      <w:r>
        <w:rPr>
          <w:i/>
          <w:iCs/>
          <w:color w:val="8b0000"/>
          <w:sz w:val="20"/>
          <w:szCs w:val="20"/>
        </w:rPr>
        <w:t>Figure 4: (a) Lenticels on a woody stem, (b) internal structure of a lenticel</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2200"/>
        <w:gridCol w:w="7300"/>
      </w:tblGrid>
      <w:tr w14:paraId="54208E38">
        <w:trPr/>
        <w:tc>
          <w:tcPr>
            <w:tcW w:w="2200" w:type="dxa"/>
            <w:tcBorders/>
            <w:shd w:val="clear" w:color="auto" w:fill="1f4e5f"/>
            <w:tcMar>
              <w:top w:w="100" w:type="dxa"/>
              <w:left w:w="120" w:type="dxa"/>
              <w:bottom w:w="100" w:type="dxa"/>
              <w:right w:w="120" w:type="dxa"/>
            </w:tcMar>
            <w:vAlign w:val="center"/>
          </w:tcPr>
          <w:p w14:paraId="3930A12A">
            <w:pPr>
              <w:pStyle w:val="style0"/>
              <w:spacing w:after="60"/>
              <w:rPr/>
            </w:pPr>
            <w:r>
              <w:rPr>
                <w:b/>
                <w:bCs/>
                <w:color w:val="ffffff"/>
                <w:sz w:val="21"/>
                <w:szCs w:val="21"/>
              </w:rPr>
              <w:t>Activity</w:t>
            </w:r>
          </w:p>
        </w:tc>
        <w:tc>
          <w:tcPr>
            <w:tcW w:w="7300" w:type="dxa"/>
            <w:tcBorders/>
            <w:shd w:val="clear" w:color="auto" w:fill="ffffff"/>
            <w:tcMar>
              <w:top w:w="100" w:type="dxa"/>
              <w:left w:w="120" w:type="dxa"/>
              <w:bottom w:w="100" w:type="dxa"/>
              <w:right w:w="120" w:type="dxa"/>
            </w:tcMar>
            <w:vAlign w:val="center"/>
          </w:tcPr>
          <w:p w14:paraId="85673CD1">
            <w:pPr>
              <w:pStyle w:val="style0"/>
              <w:spacing w:after="60"/>
              <w:rPr/>
            </w:pPr>
            <w:r>
              <w:rPr>
                <w:sz w:val="21"/>
                <w:szCs w:val="21"/>
              </w:rPr>
              <w:t>Examine fresh woody stems with a hand lens, then observe a permanent slide of lenticels under a light microscope (low and medium power).</w:t>
            </w:r>
          </w:p>
        </w:tc>
      </w:tr>
      <w:tr w14:paraId="5264957C">
        <w:tblPrEx/>
        <w:trPr/>
        <w:tc>
          <w:tcPr>
            <w:tcW w:w="2200" w:type="dxa"/>
            <w:tcBorders/>
            <w:shd w:val="clear" w:color="auto" w:fill="1f4e5f"/>
            <w:tcMar>
              <w:top w:w="100" w:type="dxa"/>
              <w:left w:w="120" w:type="dxa"/>
              <w:bottom w:w="100" w:type="dxa"/>
              <w:right w:w="120" w:type="dxa"/>
            </w:tcMar>
            <w:vAlign w:val="center"/>
          </w:tcPr>
          <w:p w14:paraId="A0E4487C">
            <w:pPr>
              <w:pStyle w:val="style0"/>
              <w:spacing w:after="60"/>
              <w:rPr/>
            </w:pPr>
            <w:r>
              <w:rPr>
                <w:b/>
                <w:bCs/>
                <w:color w:val="ffffff"/>
                <w:sz w:val="21"/>
                <w:szCs w:val="21"/>
              </w:rPr>
              <w:t>Observation</w:t>
            </w:r>
          </w:p>
        </w:tc>
        <w:tc>
          <w:tcPr>
            <w:tcW w:w="7300" w:type="dxa"/>
            <w:tcBorders/>
            <w:shd w:val="clear" w:color="auto" w:fill="eaf1f4"/>
            <w:tcMar>
              <w:top w:w="100" w:type="dxa"/>
              <w:left w:w="120" w:type="dxa"/>
              <w:bottom w:w="100" w:type="dxa"/>
              <w:right w:w="120" w:type="dxa"/>
            </w:tcMar>
            <w:vAlign w:val="center"/>
          </w:tcPr>
          <w:p w14:paraId="FFBAA775">
            <w:pPr>
              <w:pStyle w:val="style0"/>
              <w:spacing w:after="60"/>
              <w:rPr/>
            </w:pPr>
            <w:r>
              <w:rPr>
                <w:sz w:val="21"/>
                <w:szCs w:val="21"/>
              </w:rPr>
              <w:t>Lenticels appear as small, rough, cork-like raised spots/openings on the stem surface, made of loosely packed cork cells with visible air spaces between them.</w:t>
            </w:r>
          </w:p>
        </w:tc>
      </w:tr>
      <w:tr w14:paraId="FB712747">
        <w:tblPrEx/>
        <w:trPr/>
        <w:tc>
          <w:tcPr>
            <w:tcW w:w="2200" w:type="dxa"/>
            <w:tcBorders/>
            <w:shd w:val="clear" w:color="auto" w:fill="1f4e5f"/>
            <w:tcMar>
              <w:top w:w="100" w:type="dxa"/>
              <w:left w:w="120" w:type="dxa"/>
              <w:bottom w:w="100" w:type="dxa"/>
              <w:right w:w="120" w:type="dxa"/>
            </w:tcMar>
            <w:vAlign w:val="center"/>
          </w:tcPr>
          <w:p w14:paraId="FC4092E5">
            <w:pPr>
              <w:pStyle w:val="style0"/>
              <w:spacing w:after="60"/>
              <w:rPr/>
            </w:pPr>
            <w:r>
              <w:rPr>
                <w:b/>
                <w:bCs/>
                <w:color w:val="ffffff"/>
                <w:sz w:val="21"/>
                <w:szCs w:val="21"/>
              </w:rPr>
              <w:t>Structure/Function notes</w:t>
            </w:r>
          </w:p>
        </w:tc>
        <w:tc>
          <w:tcPr>
            <w:tcW w:w="7300" w:type="dxa"/>
            <w:tcBorders/>
            <w:shd w:val="clear" w:color="auto" w:fill="ffffff"/>
            <w:tcMar>
              <w:top w:w="100" w:type="dxa"/>
              <w:left w:w="120" w:type="dxa"/>
              <w:bottom w:w="100" w:type="dxa"/>
              <w:right w:w="120" w:type="dxa"/>
            </w:tcMar>
            <w:vAlign w:val="center"/>
          </w:tcPr>
          <w:p w14:paraId="A06A2B95">
            <w:pPr>
              <w:pStyle w:val="style0"/>
              <w:spacing w:after="60"/>
              <w:rPr/>
            </w:pPr>
            <w:r>
              <w:rPr>
                <w:sz w:val="21"/>
                <w:szCs w:val="21"/>
              </w:rPr>
              <w:t>Unlike stomata, lenticels remain open at all times (they do not open/close). The loosely packed cork cells create large intercellular spaces that allow free diffusion of gases between the stem's interior and the atmosphere. Because respiration constantly uses up oxygen inside the stem, a concentration gradient is maintained that drives oxygen in and CO₂ out through the lenticels.</w:t>
            </w:r>
          </w:p>
        </w:tc>
      </w:tr>
      <w:tr w14:paraId="5A8F36DD">
        <w:tblPrEx/>
        <w:trPr/>
        <w:tc>
          <w:tcPr>
            <w:tcW w:w="2200" w:type="dxa"/>
            <w:tcBorders/>
            <w:shd w:val="clear" w:color="auto" w:fill="1f4e5f"/>
            <w:tcMar>
              <w:top w:w="100" w:type="dxa"/>
              <w:left w:w="120" w:type="dxa"/>
              <w:bottom w:w="100" w:type="dxa"/>
              <w:right w:w="120" w:type="dxa"/>
            </w:tcMar>
            <w:vAlign w:val="center"/>
          </w:tcPr>
          <w:p w14:paraId="9A334E2C">
            <w:pPr>
              <w:pStyle w:val="style0"/>
              <w:spacing w:after="60"/>
              <w:rPr/>
            </w:pPr>
            <w:r>
              <w:rPr>
                <w:b/>
                <w:bCs/>
                <w:color w:val="ffffff"/>
                <w:sz w:val="21"/>
                <w:szCs w:val="21"/>
              </w:rPr>
              <w:t>Conclusion</w:t>
            </w:r>
          </w:p>
        </w:tc>
        <w:tc>
          <w:tcPr>
            <w:tcW w:w="7300" w:type="dxa"/>
            <w:tcBorders/>
            <w:shd w:val="clear" w:color="auto" w:fill="eaf1f4"/>
            <w:tcMar>
              <w:top w:w="100" w:type="dxa"/>
              <w:left w:w="120" w:type="dxa"/>
              <w:bottom w:w="100" w:type="dxa"/>
              <w:right w:w="120" w:type="dxa"/>
            </w:tcMar>
            <w:vAlign w:val="center"/>
          </w:tcPr>
          <w:p w14:paraId="808C751B">
            <w:pPr>
              <w:pStyle w:val="style0"/>
              <w:spacing w:after="60"/>
              <w:rPr/>
            </w:pPr>
            <w:r>
              <w:rPr>
                <w:sz w:val="21"/>
                <w:szCs w:val="21"/>
              </w:rPr>
              <w:t>Lenticels are the main gaseous exchange sites on woody stems and roots, adapted by remaining permanently open with air-filled intercellular spaces.</w:t>
            </w:r>
          </w:p>
        </w:tc>
      </w:tr>
    </w:tbl>
    <w:p w14:paraId="923F7DAE">
      <w:pPr>
        <w:pStyle w:val="style4099"/>
        <w:spacing w:before="200" w:after="100"/>
        <w:rPr/>
      </w:pPr>
      <w:r>
        <w:rPr>
          <w:b/>
          <w:bCs/>
          <w:color w:val="1f4e5f"/>
        </w:rPr>
        <w:t>(c) Pneumatophores</w:t>
      </w:r>
    </w:p>
    <w:p w14:paraId="696B78AA">
      <w:pPr>
        <w:pStyle w:val="style0"/>
        <w:spacing w:before="150" w:after="60"/>
        <w:jc w:val="center"/>
        <w:rPr/>
      </w:pPr>
      <w:r>
        <w:rPr/>
        <w:drawing>
          <wp:inline distL="0" distT="0" distB="0" distR="0">
            <wp:extent cx="4572000" cy="2352675"/>
            <wp:effectExtent l="0" t="0" r="0" b="0"/>
            <wp:docPr id="1030" name="" descr=""/>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6" cstate="print"/>
                    <a:srcRect l="0" t="0" r="0" b="0"/>
                    <a:stretch/>
                  </pic:blipFill>
                  <pic:spPr>
                    <a:xfrm rot="0">
                      <a:off x="0" y="0"/>
                      <a:ext cx="4572000" cy="2352675"/>
                    </a:xfrm>
                    <a:prstGeom prst="rect"/>
                  </pic:spPr>
                </pic:pic>
              </a:graphicData>
            </a:graphic>
          </wp:inline>
        </w:drawing>
      </w:r>
    </w:p>
    <w:p w14:paraId="EFDA7873">
      <w:pPr>
        <w:pStyle w:val="style0"/>
        <w:spacing w:before="60" w:after="300"/>
        <w:jc w:val="center"/>
        <w:rPr/>
      </w:pPr>
      <w:r>
        <w:rPr>
          <w:i/>
          <w:iCs/>
          <w:color w:val="8b0000"/>
          <w:sz w:val="20"/>
          <w:szCs w:val="20"/>
        </w:rPr>
        <w:t>Figure 5: Pneumatophores of Avicennia (mangrove) root system</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2200"/>
        <w:gridCol w:w="7300"/>
      </w:tblGrid>
      <w:tr w14:paraId="18CFCAC6">
        <w:trPr/>
        <w:tc>
          <w:tcPr>
            <w:tcW w:w="2200" w:type="dxa"/>
            <w:tcBorders/>
            <w:shd w:val="clear" w:color="auto" w:fill="1f4e5f"/>
            <w:tcMar>
              <w:top w:w="100" w:type="dxa"/>
              <w:left w:w="120" w:type="dxa"/>
              <w:bottom w:w="100" w:type="dxa"/>
              <w:right w:w="120" w:type="dxa"/>
            </w:tcMar>
            <w:vAlign w:val="center"/>
          </w:tcPr>
          <w:p w14:paraId="6DE7D483">
            <w:pPr>
              <w:pStyle w:val="style0"/>
              <w:spacing w:after="60"/>
              <w:rPr/>
            </w:pPr>
            <w:r>
              <w:rPr>
                <w:b/>
                <w:bCs/>
                <w:color w:val="ffffff"/>
                <w:sz w:val="21"/>
                <w:szCs w:val="21"/>
              </w:rPr>
              <w:t>Activity</w:t>
            </w:r>
          </w:p>
        </w:tc>
        <w:tc>
          <w:tcPr>
            <w:tcW w:w="7300" w:type="dxa"/>
            <w:tcBorders/>
            <w:shd w:val="clear" w:color="auto" w:fill="ffffff"/>
            <w:tcMar>
              <w:top w:w="100" w:type="dxa"/>
              <w:left w:w="120" w:type="dxa"/>
              <w:bottom w:w="100" w:type="dxa"/>
              <w:right w:w="120" w:type="dxa"/>
            </w:tcMar>
            <w:vAlign w:val="center"/>
          </w:tcPr>
          <w:p w14:paraId="D7722BCB">
            <w:pPr>
              <w:pStyle w:val="style0"/>
              <w:spacing w:after="60"/>
              <w:rPr/>
            </w:pPr>
            <w:r>
              <w:rPr>
                <w:sz w:val="21"/>
                <w:szCs w:val="21"/>
              </w:rPr>
              <w:t>Observe photographs/charts of pneumatophores and draw a labelled diagram.</w:t>
            </w:r>
          </w:p>
        </w:tc>
      </w:tr>
      <w:tr w14:paraId="D270655E">
        <w:tblPrEx/>
        <w:trPr/>
        <w:tc>
          <w:tcPr>
            <w:tcW w:w="2200" w:type="dxa"/>
            <w:tcBorders/>
            <w:shd w:val="clear" w:color="auto" w:fill="1f4e5f"/>
            <w:tcMar>
              <w:top w:w="100" w:type="dxa"/>
              <w:left w:w="120" w:type="dxa"/>
              <w:bottom w:w="100" w:type="dxa"/>
              <w:right w:w="120" w:type="dxa"/>
            </w:tcMar>
            <w:vAlign w:val="center"/>
          </w:tcPr>
          <w:p w14:paraId="F2A0FC70">
            <w:pPr>
              <w:pStyle w:val="style0"/>
              <w:spacing w:after="60"/>
              <w:rPr/>
            </w:pPr>
            <w:r>
              <w:rPr>
                <w:b/>
                <w:bCs/>
                <w:color w:val="ffffff"/>
                <w:sz w:val="21"/>
                <w:szCs w:val="21"/>
              </w:rPr>
              <w:t>Observation</w:t>
            </w:r>
          </w:p>
        </w:tc>
        <w:tc>
          <w:tcPr>
            <w:tcW w:w="7300" w:type="dxa"/>
            <w:tcBorders/>
            <w:shd w:val="clear" w:color="auto" w:fill="eaf1f4"/>
            <w:tcMar>
              <w:top w:w="100" w:type="dxa"/>
              <w:left w:w="120" w:type="dxa"/>
              <w:bottom w:w="100" w:type="dxa"/>
              <w:right w:w="120" w:type="dxa"/>
            </w:tcMar>
            <w:vAlign w:val="center"/>
          </w:tcPr>
          <w:p w14:paraId="7A59A0C5">
            <w:pPr>
              <w:pStyle w:val="style0"/>
              <w:spacing w:after="60"/>
              <w:rPr/>
            </w:pPr>
            <w:r>
              <w:rPr>
                <w:sz w:val="21"/>
                <w:szCs w:val="21"/>
              </w:rPr>
              <w:t>Upright, peg-like roots project above the muddy/waterlogged soil surface.</w:t>
            </w:r>
          </w:p>
        </w:tc>
      </w:tr>
      <w:tr w14:paraId="0D0750BD">
        <w:tblPrEx/>
        <w:trPr/>
        <w:tc>
          <w:tcPr>
            <w:tcW w:w="2200" w:type="dxa"/>
            <w:tcBorders/>
            <w:shd w:val="clear" w:color="auto" w:fill="1f4e5f"/>
            <w:tcMar>
              <w:top w:w="100" w:type="dxa"/>
              <w:left w:w="120" w:type="dxa"/>
              <w:bottom w:w="100" w:type="dxa"/>
              <w:right w:w="120" w:type="dxa"/>
            </w:tcMar>
            <w:vAlign w:val="center"/>
          </w:tcPr>
          <w:p w14:paraId="098C603D">
            <w:pPr>
              <w:pStyle w:val="style0"/>
              <w:spacing w:after="60"/>
              <w:rPr/>
            </w:pPr>
            <w:r>
              <w:rPr>
                <w:b/>
                <w:bCs/>
                <w:color w:val="ffffff"/>
                <w:sz w:val="21"/>
                <w:szCs w:val="21"/>
              </w:rPr>
              <w:t>Structure/Function notes</w:t>
            </w:r>
          </w:p>
        </w:tc>
        <w:tc>
          <w:tcPr>
            <w:tcW w:w="7300" w:type="dxa"/>
            <w:tcBorders/>
            <w:shd w:val="clear" w:color="auto" w:fill="ffffff"/>
            <w:tcMar>
              <w:top w:w="100" w:type="dxa"/>
              <w:left w:w="120" w:type="dxa"/>
              <w:bottom w:w="100" w:type="dxa"/>
              <w:right w:w="120" w:type="dxa"/>
            </w:tcMar>
            <w:vAlign w:val="center"/>
          </w:tcPr>
          <w:p w14:paraId="E082EA23">
            <w:pPr>
              <w:pStyle w:val="style0"/>
              <w:spacing w:after="60"/>
              <w:rPr/>
            </w:pPr>
            <w:r>
              <w:rPr>
                <w:sz w:val="21"/>
                <w:szCs w:val="21"/>
              </w:rPr>
              <w:t>Pneumatophores are specialised aerial (breathing) roots found in halophytes such as mangroves that grow in waterlogged, saline mud. They protrude above the mud to absorb atmospheric oxygen and have extensively developed aerenchyma tissue enclosing large air spaces. Small pores (lenticels) on their surface connect via air spaces to the roots buried in the mud, allowing gases to pass directly between the atmosphere and the submerged root system.</w:t>
            </w:r>
          </w:p>
        </w:tc>
      </w:tr>
      <w:tr w14:paraId="D2CFAAEF">
        <w:tblPrEx/>
        <w:trPr/>
        <w:tc>
          <w:tcPr>
            <w:tcW w:w="2200" w:type="dxa"/>
            <w:tcBorders/>
            <w:shd w:val="clear" w:color="auto" w:fill="1f4e5f"/>
            <w:tcMar>
              <w:top w:w="100" w:type="dxa"/>
              <w:left w:w="120" w:type="dxa"/>
              <w:bottom w:w="100" w:type="dxa"/>
              <w:right w:w="120" w:type="dxa"/>
            </w:tcMar>
            <w:vAlign w:val="center"/>
          </w:tcPr>
          <w:p w14:paraId="999A309B">
            <w:pPr>
              <w:pStyle w:val="style0"/>
              <w:spacing w:after="60"/>
              <w:rPr/>
            </w:pPr>
            <w:r>
              <w:rPr>
                <w:b/>
                <w:bCs/>
                <w:color w:val="ffffff"/>
                <w:sz w:val="21"/>
                <w:szCs w:val="21"/>
              </w:rPr>
              <w:t>Conclusion</w:t>
            </w:r>
          </w:p>
        </w:tc>
        <w:tc>
          <w:tcPr>
            <w:tcW w:w="7300" w:type="dxa"/>
            <w:tcBorders/>
            <w:shd w:val="clear" w:color="auto" w:fill="eaf1f4"/>
            <w:tcMar>
              <w:top w:w="100" w:type="dxa"/>
              <w:left w:w="120" w:type="dxa"/>
              <w:bottom w:w="100" w:type="dxa"/>
              <w:right w:w="120" w:type="dxa"/>
            </w:tcMar>
            <w:vAlign w:val="center"/>
          </w:tcPr>
          <w:p w14:paraId="721DAE1D">
            <w:pPr>
              <w:pStyle w:val="style0"/>
              <w:spacing w:after="60"/>
              <w:rPr/>
            </w:pPr>
            <w:r>
              <w:rPr>
                <w:sz w:val="21"/>
                <w:szCs w:val="21"/>
              </w:rPr>
              <w:t>Pneumatophores adapt mangroves and similar plants to gaseous exchange in oxygen-poor, waterlogged mud by providing a direct air pathway from the atmosphere to the buried roots.</w:t>
            </w:r>
          </w:p>
        </w:tc>
      </w:tr>
    </w:tbl>
    <w:p w14:paraId="8A89AF70">
      <w:pPr>
        <w:pStyle w:val="style4099"/>
        <w:spacing w:before="200" w:after="100"/>
        <w:rPr/>
      </w:pPr>
      <w:r>
        <w:rPr>
          <w:b/>
          <w:bCs/>
          <w:color w:val="1f4e5f"/>
        </w:rPr>
        <w:t>(d) Cuticle</w:t>
      </w:r>
    </w:p>
    <w:p w14:paraId="BB651238">
      <w:pPr>
        <w:pStyle w:val="style0"/>
        <w:spacing w:before="150" w:after="60"/>
        <w:jc w:val="center"/>
        <w:rPr/>
      </w:pPr>
      <w:r>
        <w:rPr/>
        <w:drawing>
          <wp:inline distL="0" distT="0" distB="0" distR="0">
            <wp:extent cx="4572000" cy="2057400"/>
            <wp:effectExtent l="0" t="0" r="0" b="0"/>
            <wp:docPr id="1031" name="" descr=""/>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7" cstate="print"/>
                    <a:srcRect l="0" t="0" r="0" b="0"/>
                    <a:stretch/>
                  </pic:blipFill>
                  <pic:spPr>
                    <a:xfrm rot="0">
                      <a:off x="0" y="0"/>
                      <a:ext cx="4572000" cy="2057400"/>
                    </a:xfrm>
                    <a:prstGeom prst="rect"/>
                  </pic:spPr>
                </pic:pic>
              </a:graphicData>
            </a:graphic>
          </wp:inline>
        </w:drawing>
      </w:r>
    </w:p>
    <w:p w14:paraId="4364CF03">
      <w:pPr>
        <w:pStyle w:val="style0"/>
        <w:spacing w:before="60" w:after="300"/>
        <w:jc w:val="center"/>
        <w:rPr/>
      </w:pPr>
      <w:r>
        <w:rPr>
          <w:i/>
          <w:iCs/>
          <w:color w:val="8b0000"/>
          <w:sz w:val="20"/>
          <w:szCs w:val="20"/>
        </w:rPr>
        <w:t>Figure 6: Transverse section of a leaf showing the cuticle</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2200"/>
        <w:gridCol w:w="7300"/>
      </w:tblGrid>
      <w:tr w14:paraId="F89CFA82">
        <w:trPr/>
        <w:tc>
          <w:tcPr>
            <w:tcW w:w="2200" w:type="dxa"/>
            <w:tcBorders/>
            <w:shd w:val="clear" w:color="auto" w:fill="1f4e5f"/>
            <w:tcMar>
              <w:top w:w="100" w:type="dxa"/>
              <w:left w:w="120" w:type="dxa"/>
              <w:bottom w:w="100" w:type="dxa"/>
              <w:right w:w="120" w:type="dxa"/>
            </w:tcMar>
            <w:vAlign w:val="center"/>
          </w:tcPr>
          <w:p w14:paraId="B9A0EBF5">
            <w:pPr>
              <w:pStyle w:val="style0"/>
              <w:spacing w:after="60"/>
              <w:rPr/>
            </w:pPr>
            <w:r>
              <w:rPr>
                <w:b/>
                <w:bCs/>
                <w:color w:val="ffffff"/>
                <w:sz w:val="21"/>
                <w:szCs w:val="21"/>
              </w:rPr>
              <w:t>Activity</w:t>
            </w:r>
          </w:p>
        </w:tc>
        <w:tc>
          <w:tcPr>
            <w:tcW w:w="7300" w:type="dxa"/>
            <w:tcBorders/>
            <w:shd w:val="clear" w:color="auto" w:fill="ffffff"/>
            <w:tcMar>
              <w:top w:w="100" w:type="dxa"/>
              <w:left w:w="120" w:type="dxa"/>
              <w:bottom w:w="100" w:type="dxa"/>
              <w:right w:w="120" w:type="dxa"/>
            </w:tcMar>
            <w:vAlign w:val="center"/>
          </w:tcPr>
          <w:p w14:paraId="AF25F495">
            <w:pPr>
              <w:pStyle w:val="style0"/>
              <w:spacing w:after="60"/>
              <w:rPr/>
            </w:pPr>
            <w:r>
              <w:rPr>
                <w:sz w:val="21"/>
                <w:szCs w:val="21"/>
              </w:rPr>
              <w:t>Peel a small portion of cuticle from a fleshy xerophyte leaf (e.g. sisal) using a surgical blade and observe with a hand lens.</w:t>
            </w:r>
          </w:p>
        </w:tc>
      </w:tr>
      <w:tr w14:paraId="111B565F">
        <w:tblPrEx/>
        <w:trPr/>
        <w:tc>
          <w:tcPr>
            <w:tcW w:w="2200" w:type="dxa"/>
            <w:tcBorders/>
            <w:shd w:val="clear" w:color="auto" w:fill="1f4e5f"/>
            <w:tcMar>
              <w:top w:w="100" w:type="dxa"/>
              <w:left w:w="120" w:type="dxa"/>
              <w:bottom w:w="100" w:type="dxa"/>
              <w:right w:w="120" w:type="dxa"/>
            </w:tcMar>
            <w:vAlign w:val="center"/>
          </w:tcPr>
          <w:p w14:paraId="97C99771">
            <w:pPr>
              <w:pStyle w:val="style0"/>
              <w:spacing w:after="60"/>
              <w:rPr/>
            </w:pPr>
            <w:r>
              <w:rPr>
                <w:b/>
                <w:bCs/>
                <w:color w:val="ffffff"/>
                <w:sz w:val="21"/>
                <w:szCs w:val="21"/>
              </w:rPr>
              <w:t>Observation</w:t>
            </w:r>
          </w:p>
        </w:tc>
        <w:tc>
          <w:tcPr>
            <w:tcW w:w="7300" w:type="dxa"/>
            <w:tcBorders/>
            <w:shd w:val="clear" w:color="auto" w:fill="eaf1f4"/>
            <w:tcMar>
              <w:top w:w="100" w:type="dxa"/>
              <w:left w:w="120" w:type="dxa"/>
              <w:bottom w:w="100" w:type="dxa"/>
              <w:right w:w="120" w:type="dxa"/>
            </w:tcMar>
            <w:vAlign w:val="center"/>
          </w:tcPr>
          <w:p w14:paraId="3E77FDD9">
            <w:pPr>
              <w:pStyle w:val="style0"/>
              <w:spacing w:after="60"/>
              <w:rPr/>
            </w:pPr>
            <w:r>
              <w:rPr>
                <w:sz w:val="21"/>
                <w:szCs w:val="21"/>
              </w:rPr>
              <w:t>A thin, transparent, waxy layer is peeled from the leaf surface.</w:t>
            </w:r>
          </w:p>
        </w:tc>
      </w:tr>
      <w:tr w14:paraId="37E686B2">
        <w:tblPrEx/>
        <w:trPr/>
        <w:tc>
          <w:tcPr>
            <w:tcW w:w="2200" w:type="dxa"/>
            <w:tcBorders/>
            <w:shd w:val="clear" w:color="auto" w:fill="1f4e5f"/>
            <w:tcMar>
              <w:top w:w="100" w:type="dxa"/>
              <w:left w:w="120" w:type="dxa"/>
              <w:bottom w:w="100" w:type="dxa"/>
              <w:right w:w="120" w:type="dxa"/>
            </w:tcMar>
            <w:vAlign w:val="center"/>
          </w:tcPr>
          <w:p w14:paraId="0740339A">
            <w:pPr>
              <w:pStyle w:val="style0"/>
              <w:spacing w:after="60"/>
              <w:rPr/>
            </w:pPr>
            <w:r>
              <w:rPr>
                <w:b/>
                <w:bCs/>
                <w:color w:val="ffffff"/>
                <w:sz w:val="21"/>
                <w:szCs w:val="21"/>
              </w:rPr>
              <w:t>Structure/Function notes</w:t>
            </w:r>
          </w:p>
        </w:tc>
        <w:tc>
          <w:tcPr>
            <w:tcW w:w="7300" w:type="dxa"/>
            <w:tcBorders/>
            <w:shd w:val="clear" w:color="auto" w:fill="ffffff"/>
            <w:tcMar>
              <w:top w:w="100" w:type="dxa"/>
              <w:left w:w="120" w:type="dxa"/>
              <w:bottom w:w="100" w:type="dxa"/>
              <w:right w:w="120" w:type="dxa"/>
            </w:tcMar>
            <w:vAlign w:val="center"/>
          </w:tcPr>
          <w:p w14:paraId="807C4CA1">
            <w:pPr>
              <w:pStyle w:val="style0"/>
              <w:spacing w:after="60"/>
              <w:rPr/>
            </w:pPr>
            <w:r>
              <w:rPr>
                <w:sz w:val="21"/>
                <w:szCs w:val="21"/>
              </w:rPr>
              <w:t>The cuticle is the outermost covering of leaves and young stems. In young plants it is thin, making it permeable enough to allow some gaseous exchange directly through it and the epidermis beneath. As the plant ages, the cuticle thickens and becomes impermeable. Submerged hydrophytes lack a cuticle altogether, so gaseous exchange occurs through their one-cell-thick epidermis, which shortens the diffusion distance.</w:t>
            </w:r>
          </w:p>
        </w:tc>
      </w:tr>
      <w:tr w14:paraId="403CD5DE">
        <w:tblPrEx/>
        <w:trPr/>
        <w:tc>
          <w:tcPr>
            <w:tcW w:w="2200" w:type="dxa"/>
            <w:tcBorders/>
            <w:shd w:val="clear" w:color="auto" w:fill="1f4e5f"/>
            <w:tcMar>
              <w:top w:w="100" w:type="dxa"/>
              <w:left w:w="120" w:type="dxa"/>
              <w:bottom w:w="100" w:type="dxa"/>
              <w:right w:w="120" w:type="dxa"/>
            </w:tcMar>
            <w:vAlign w:val="center"/>
          </w:tcPr>
          <w:p w14:paraId="714B080B">
            <w:pPr>
              <w:pStyle w:val="style0"/>
              <w:spacing w:after="60"/>
              <w:rPr/>
            </w:pPr>
            <w:r>
              <w:rPr>
                <w:b/>
                <w:bCs/>
                <w:color w:val="ffffff"/>
                <w:sz w:val="21"/>
                <w:szCs w:val="21"/>
              </w:rPr>
              <w:t>Conclusion</w:t>
            </w:r>
          </w:p>
        </w:tc>
        <w:tc>
          <w:tcPr>
            <w:tcW w:w="7300" w:type="dxa"/>
            <w:tcBorders/>
            <w:shd w:val="clear" w:color="auto" w:fill="eaf1f4"/>
            <w:tcMar>
              <w:top w:w="100" w:type="dxa"/>
              <w:left w:w="120" w:type="dxa"/>
              <w:bottom w:w="100" w:type="dxa"/>
              <w:right w:w="120" w:type="dxa"/>
            </w:tcMar>
            <w:vAlign w:val="center"/>
          </w:tcPr>
          <w:p w14:paraId="D2F1A352">
            <w:pPr>
              <w:pStyle w:val="style0"/>
              <w:spacing w:after="60"/>
              <w:rPr/>
            </w:pPr>
            <w:r>
              <w:rPr>
                <w:sz w:val="21"/>
                <w:szCs w:val="21"/>
              </w:rPr>
              <w:t>A thin cuticle allows limited but useful gaseous exchange in young tissue; its thickening with age reduces this route (also reducing water loss).</w:t>
            </w:r>
          </w:p>
        </w:tc>
      </w:tr>
    </w:tbl>
    <w:p w14:paraId="E4614010">
      <w:pPr>
        <w:pStyle w:val="style0"/>
        <w:rPr/>
      </w:pPr>
      <w:r>
        <w:br w:type="page"/>
      </w:r>
    </w:p>
    <w:p w14:paraId="2128421F">
      <w:pPr>
        <w:pStyle w:val="style4099"/>
        <w:spacing w:before="200" w:after="100"/>
        <w:rPr/>
      </w:pPr>
      <w:r>
        <w:rPr>
          <w:b/>
          <w:bCs/>
          <w:color w:val="1f4e5f"/>
        </w:rPr>
        <w:t>(e) Aerenchyma</w:t>
      </w:r>
    </w:p>
    <w:p w14:paraId="8D1AAADD">
      <w:pPr>
        <w:pStyle w:val="style0"/>
        <w:spacing w:before="150" w:after="60"/>
        <w:jc w:val="center"/>
        <w:rPr/>
      </w:pPr>
      <w:r>
        <w:rPr/>
        <w:drawing>
          <wp:inline distL="0" distT="0" distB="0" distR="0">
            <wp:extent cx="3619500" cy="1171575"/>
            <wp:effectExtent l="0" t="0" r="0" b="0"/>
            <wp:docPr id="1032" name="" descr=""/>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8" cstate="print"/>
                    <a:srcRect l="0" t="0" r="0" b="0"/>
                    <a:stretch/>
                  </pic:blipFill>
                  <pic:spPr>
                    <a:xfrm rot="0">
                      <a:off x="0" y="0"/>
                      <a:ext cx="3619500" cy="1171575"/>
                    </a:xfrm>
                    <a:prstGeom prst="rect"/>
                  </pic:spPr>
                </pic:pic>
              </a:graphicData>
            </a:graphic>
          </wp:inline>
        </w:drawing>
      </w:r>
    </w:p>
    <w:p w14:paraId="FE12F4DA">
      <w:pPr>
        <w:pStyle w:val="style0"/>
        <w:spacing w:before="60" w:after="300"/>
        <w:jc w:val="center"/>
        <w:rPr/>
      </w:pPr>
      <w:r>
        <w:rPr>
          <w:i/>
          <w:iCs/>
          <w:color w:val="8b0000"/>
          <w:sz w:val="20"/>
          <w:szCs w:val="20"/>
        </w:rPr>
        <w:t>Figure 7: Aerenchyma tissue with large air spaces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2200"/>
        <w:gridCol w:w="7300"/>
      </w:tblGrid>
      <w:tr w14:paraId="33F77A00">
        <w:trPr/>
        <w:tc>
          <w:tcPr>
            <w:tcW w:w="2200" w:type="dxa"/>
            <w:tcBorders/>
            <w:shd w:val="clear" w:color="auto" w:fill="1f4e5f"/>
            <w:tcMar>
              <w:top w:w="100" w:type="dxa"/>
              <w:left w:w="120" w:type="dxa"/>
              <w:bottom w:w="100" w:type="dxa"/>
              <w:right w:w="120" w:type="dxa"/>
            </w:tcMar>
            <w:vAlign w:val="center"/>
          </w:tcPr>
          <w:p w14:paraId="AB9B306B">
            <w:pPr>
              <w:pStyle w:val="style0"/>
              <w:spacing w:after="60"/>
              <w:rPr/>
            </w:pPr>
            <w:r>
              <w:rPr>
                <w:b/>
                <w:bCs/>
                <w:color w:val="ffffff"/>
                <w:sz w:val="21"/>
                <w:szCs w:val="21"/>
              </w:rPr>
              <w:t>Activity</w:t>
            </w:r>
          </w:p>
        </w:tc>
        <w:tc>
          <w:tcPr>
            <w:tcW w:w="7300" w:type="dxa"/>
            <w:tcBorders/>
            <w:shd w:val="clear" w:color="auto" w:fill="ffffff"/>
            <w:tcMar>
              <w:top w:w="100" w:type="dxa"/>
              <w:left w:w="120" w:type="dxa"/>
              <w:bottom w:w="100" w:type="dxa"/>
              <w:right w:w="120" w:type="dxa"/>
            </w:tcMar>
            <w:vAlign w:val="center"/>
          </w:tcPr>
          <w:p w14:paraId="02059C99">
            <w:pPr>
              <w:pStyle w:val="style0"/>
              <w:spacing w:after="60"/>
              <w:rPr/>
            </w:pPr>
            <w:r>
              <w:rPr>
                <w:sz w:val="21"/>
                <w:szCs w:val="21"/>
              </w:rPr>
              <w:t>Observe a permanent slide/photomicrograph of aerenchyma under a light microscope (low, then medium power).</w:t>
            </w:r>
          </w:p>
        </w:tc>
      </w:tr>
      <w:tr w14:paraId="3E9E6780">
        <w:tblPrEx/>
        <w:trPr/>
        <w:tc>
          <w:tcPr>
            <w:tcW w:w="2200" w:type="dxa"/>
            <w:tcBorders/>
            <w:shd w:val="clear" w:color="auto" w:fill="1f4e5f"/>
            <w:tcMar>
              <w:top w:w="100" w:type="dxa"/>
              <w:left w:w="120" w:type="dxa"/>
              <w:bottom w:w="100" w:type="dxa"/>
              <w:right w:w="120" w:type="dxa"/>
            </w:tcMar>
            <w:vAlign w:val="center"/>
          </w:tcPr>
          <w:p w14:paraId="E11175F6">
            <w:pPr>
              <w:pStyle w:val="style0"/>
              <w:spacing w:after="60"/>
              <w:rPr/>
            </w:pPr>
            <w:r>
              <w:rPr>
                <w:b/>
                <w:bCs/>
                <w:color w:val="ffffff"/>
                <w:sz w:val="21"/>
                <w:szCs w:val="21"/>
              </w:rPr>
              <w:t>Observation</w:t>
            </w:r>
          </w:p>
        </w:tc>
        <w:tc>
          <w:tcPr>
            <w:tcW w:w="7300" w:type="dxa"/>
            <w:tcBorders/>
            <w:shd w:val="clear" w:color="auto" w:fill="eaf1f4"/>
            <w:tcMar>
              <w:top w:w="100" w:type="dxa"/>
              <w:left w:w="120" w:type="dxa"/>
              <w:bottom w:w="100" w:type="dxa"/>
              <w:right w:w="120" w:type="dxa"/>
            </w:tcMar>
            <w:vAlign w:val="center"/>
          </w:tcPr>
          <w:p w14:paraId="2FCCB620">
            <w:pPr>
              <w:pStyle w:val="style0"/>
              <w:spacing w:after="60"/>
              <w:rPr/>
            </w:pPr>
            <w:r>
              <w:rPr>
                <w:sz w:val="21"/>
                <w:szCs w:val="21"/>
              </w:rPr>
              <w:t>Thin-walled cells enclosing large, irregular air spaces are seen.</w:t>
            </w:r>
          </w:p>
        </w:tc>
      </w:tr>
      <w:tr w14:paraId="90B4E365">
        <w:tblPrEx/>
        <w:trPr/>
        <w:tc>
          <w:tcPr>
            <w:tcW w:w="2200" w:type="dxa"/>
            <w:tcBorders/>
            <w:shd w:val="clear" w:color="auto" w:fill="1f4e5f"/>
            <w:tcMar>
              <w:top w:w="100" w:type="dxa"/>
              <w:left w:w="120" w:type="dxa"/>
              <w:bottom w:w="100" w:type="dxa"/>
              <w:right w:w="120" w:type="dxa"/>
            </w:tcMar>
            <w:vAlign w:val="center"/>
          </w:tcPr>
          <w:p w14:paraId="1135A948">
            <w:pPr>
              <w:pStyle w:val="style0"/>
              <w:spacing w:after="60"/>
              <w:rPr/>
            </w:pPr>
            <w:r>
              <w:rPr>
                <w:b/>
                <w:bCs/>
                <w:color w:val="ffffff"/>
                <w:sz w:val="21"/>
                <w:szCs w:val="21"/>
              </w:rPr>
              <w:t>Structure/Function notes</w:t>
            </w:r>
          </w:p>
        </w:tc>
        <w:tc>
          <w:tcPr>
            <w:tcW w:w="7300" w:type="dxa"/>
            <w:tcBorders/>
            <w:shd w:val="clear" w:color="auto" w:fill="ffffff"/>
            <w:tcMar>
              <w:top w:w="100" w:type="dxa"/>
              <w:left w:w="120" w:type="dxa"/>
              <w:bottom w:w="100" w:type="dxa"/>
              <w:right w:w="120" w:type="dxa"/>
            </w:tcMar>
            <w:vAlign w:val="center"/>
          </w:tcPr>
          <w:p w14:paraId="1F8DF813">
            <w:pPr>
              <w:pStyle w:val="style0"/>
              <w:spacing w:after="60"/>
              <w:rPr/>
            </w:pPr>
            <w:r>
              <w:rPr>
                <w:sz w:val="21"/>
                <w:szCs w:val="21"/>
              </w:rPr>
              <w:t>Aerenchyma is spongy tissue with large air spaces found in the leaves, stems and roots of aquatic plants. It enables plants to survive in low-oxygen environments such as wetlands, flood-prone areas and open water by storing air for gaseous exchange. The thin cell walls speed up diffusion of respiratory gases.</w:t>
            </w:r>
          </w:p>
        </w:tc>
      </w:tr>
      <w:tr w14:paraId="EF5D9092">
        <w:tblPrEx/>
        <w:trPr/>
        <w:tc>
          <w:tcPr>
            <w:tcW w:w="2200" w:type="dxa"/>
            <w:tcBorders/>
            <w:shd w:val="clear" w:color="auto" w:fill="1f4e5f"/>
            <w:tcMar>
              <w:top w:w="100" w:type="dxa"/>
              <w:left w:w="120" w:type="dxa"/>
              <w:bottom w:w="100" w:type="dxa"/>
              <w:right w:w="120" w:type="dxa"/>
            </w:tcMar>
            <w:vAlign w:val="center"/>
          </w:tcPr>
          <w:p w14:paraId="EDA9B7B7">
            <w:pPr>
              <w:pStyle w:val="style0"/>
              <w:spacing w:after="60"/>
              <w:rPr/>
            </w:pPr>
            <w:r>
              <w:rPr>
                <w:b/>
                <w:bCs/>
                <w:color w:val="ffffff"/>
                <w:sz w:val="21"/>
                <w:szCs w:val="21"/>
              </w:rPr>
              <w:t>Conclusion</w:t>
            </w:r>
          </w:p>
        </w:tc>
        <w:tc>
          <w:tcPr>
            <w:tcW w:w="7300" w:type="dxa"/>
            <w:tcBorders/>
            <w:shd w:val="clear" w:color="auto" w:fill="eaf1f4"/>
            <w:tcMar>
              <w:top w:w="100" w:type="dxa"/>
              <w:left w:w="120" w:type="dxa"/>
              <w:bottom w:w="100" w:type="dxa"/>
              <w:right w:w="120" w:type="dxa"/>
            </w:tcMar>
            <w:vAlign w:val="center"/>
          </w:tcPr>
          <w:p w14:paraId="23071CB3">
            <w:pPr>
              <w:pStyle w:val="style0"/>
              <w:spacing w:after="60"/>
              <w:rPr/>
            </w:pPr>
            <w:r>
              <w:rPr>
                <w:sz w:val="21"/>
                <w:szCs w:val="21"/>
              </w:rPr>
              <w:t>Aerenchyma is a key adaptation that lets aquatic and waterlogged-habitat plants store and exchange gases despite limited external oxygen.</w:t>
            </w:r>
          </w:p>
        </w:tc>
      </w:tr>
    </w:tbl>
    <w:p w14:paraId="65798D37">
      <w:pPr>
        <w:pStyle w:val="style0"/>
        <w:rPr/>
      </w:pPr>
      <w:r>
        <w:br w:type="page"/>
      </w:r>
    </w:p>
    <w:p w14:paraId="356F3ED9">
      <w:pPr>
        <w:pStyle w:val="style4097"/>
        <w:spacing w:before="400" w:after="200"/>
        <w:rPr/>
      </w:pPr>
      <w:r>
        <w:rPr>
          <w:b/>
          <w:bCs/>
        </w:rPr>
        <w:t>B. Mechanism of Opening and Closing of Stomata</w:t>
      </w:r>
    </w:p>
    <w:p w14:paraId="90F423D6">
      <w:pPr>
        <w:pStyle w:val="style0"/>
        <w:spacing w:after="150"/>
        <w:rPr/>
      </w:pPr>
      <w:r>
        <w:t>For gaseous exchange to occur, stomata must open. In most plants stomata open during the day and close at night, although some plants show a reversed rhythm. Three theories explain how guard cells control opening and closing: the photosynthetic theory, the starch–sugar interconversion theory, and the potassium-ion theory.</w:t>
      </w:r>
    </w:p>
    <w:p w14:paraId="2B2FCE06">
      <w:pPr>
        <w:pStyle w:val="style4098"/>
        <w:spacing w:before="300" w:after="150"/>
        <w:rPr/>
      </w:pPr>
      <w:r>
        <w:rPr>
          <w:b/>
          <w:bCs/>
        </w:rPr>
        <w:t>Comparison of the Three Theories</w:t>
      </w:r>
    </w:p>
    <w:tbl>
      <w:tblPr>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1900"/>
        <w:gridCol w:w="2300"/>
        <w:gridCol w:w="2900"/>
        <w:gridCol w:w="2900"/>
      </w:tblGrid>
      <w:tr w14:paraId="5E6751CA">
        <w:trPr>
          <w:tblHeader/>
        </w:trPr>
        <w:tc>
          <w:tcPr>
            <w:tcW w:w="1900" w:type="dxa"/>
            <w:tcBorders/>
            <w:shd w:val="clear" w:color="auto" w:fill="1f4e5f"/>
            <w:tcMar>
              <w:top w:w="100" w:type="dxa"/>
              <w:left w:w="120" w:type="dxa"/>
              <w:bottom w:w="100" w:type="dxa"/>
              <w:right w:w="120" w:type="dxa"/>
            </w:tcMar>
            <w:vAlign w:val="center"/>
          </w:tcPr>
          <w:p w14:paraId="9E796728">
            <w:pPr>
              <w:pStyle w:val="style0"/>
              <w:spacing w:after="60"/>
              <w:rPr/>
            </w:pPr>
            <w:r>
              <w:rPr>
                <w:b/>
                <w:bCs/>
                <w:color w:val="ffffff"/>
                <w:sz w:val="21"/>
                <w:szCs w:val="21"/>
              </w:rPr>
              <w:t>Theory</w:t>
            </w:r>
          </w:p>
        </w:tc>
        <w:tc>
          <w:tcPr>
            <w:tcW w:w="2300" w:type="dxa"/>
            <w:tcBorders/>
            <w:shd w:val="clear" w:color="auto" w:fill="1f4e5f"/>
            <w:tcMar>
              <w:top w:w="100" w:type="dxa"/>
              <w:left w:w="120" w:type="dxa"/>
              <w:bottom w:w="100" w:type="dxa"/>
              <w:right w:w="120" w:type="dxa"/>
            </w:tcMar>
            <w:vAlign w:val="center"/>
          </w:tcPr>
          <w:p w14:paraId="F06783EE">
            <w:pPr>
              <w:pStyle w:val="style0"/>
              <w:spacing w:after="60"/>
              <w:rPr/>
            </w:pPr>
            <w:r>
              <w:rPr>
                <w:b/>
                <w:bCs/>
                <w:color w:val="ffffff"/>
                <w:sz w:val="21"/>
                <w:szCs w:val="21"/>
              </w:rPr>
              <w:t>Basis</w:t>
            </w:r>
          </w:p>
        </w:tc>
        <w:tc>
          <w:tcPr>
            <w:tcW w:w="2900" w:type="dxa"/>
            <w:tcBorders/>
            <w:shd w:val="clear" w:color="auto" w:fill="1f4e5f"/>
            <w:tcMar>
              <w:top w:w="100" w:type="dxa"/>
              <w:left w:w="120" w:type="dxa"/>
              <w:bottom w:w="100" w:type="dxa"/>
              <w:right w:w="120" w:type="dxa"/>
            </w:tcMar>
            <w:vAlign w:val="center"/>
          </w:tcPr>
          <w:p w14:paraId="D62AAFA6">
            <w:pPr>
              <w:pStyle w:val="style0"/>
              <w:spacing w:after="60"/>
              <w:rPr/>
            </w:pPr>
            <w:r>
              <w:rPr>
                <w:b/>
                <w:bCs/>
                <w:color w:val="ffffff"/>
                <w:sz w:val="21"/>
                <w:szCs w:val="21"/>
              </w:rPr>
              <w:t>Daytime (stoma opens)</w:t>
            </w:r>
          </w:p>
        </w:tc>
        <w:tc>
          <w:tcPr>
            <w:tcW w:w="2900" w:type="dxa"/>
            <w:tcBorders/>
            <w:shd w:val="clear" w:color="auto" w:fill="1f4e5f"/>
            <w:tcMar>
              <w:top w:w="100" w:type="dxa"/>
              <w:left w:w="120" w:type="dxa"/>
              <w:bottom w:w="100" w:type="dxa"/>
              <w:right w:w="120" w:type="dxa"/>
            </w:tcMar>
            <w:vAlign w:val="center"/>
          </w:tcPr>
          <w:p w14:paraId="62A607D4">
            <w:pPr>
              <w:pStyle w:val="style0"/>
              <w:spacing w:after="60"/>
              <w:rPr/>
            </w:pPr>
            <w:r>
              <w:rPr>
                <w:b/>
                <w:bCs/>
                <w:color w:val="ffffff"/>
                <w:sz w:val="21"/>
                <w:szCs w:val="21"/>
              </w:rPr>
              <w:t>Night (stoma closes)</w:t>
            </w:r>
          </w:p>
        </w:tc>
      </w:tr>
      <w:tr w14:paraId="BBC9044F">
        <w:tblPrEx/>
        <w:trPr/>
        <w:tc>
          <w:tcPr>
            <w:tcW w:w="1900" w:type="dxa"/>
            <w:tcBorders/>
            <w:shd w:val="clear" w:color="auto" w:fill="ffffff"/>
            <w:tcMar>
              <w:top w:w="100" w:type="dxa"/>
              <w:left w:w="120" w:type="dxa"/>
              <w:bottom w:w="100" w:type="dxa"/>
              <w:right w:w="120" w:type="dxa"/>
            </w:tcMar>
            <w:vAlign w:val="center"/>
          </w:tcPr>
          <w:p w14:paraId="8772C4FC">
            <w:pPr>
              <w:pStyle w:val="style0"/>
              <w:spacing w:after="60"/>
              <w:rPr/>
            </w:pPr>
            <w:r>
              <w:rPr>
                <w:sz w:val="21"/>
                <w:szCs w:val="21"/>
              </w:rPr>
              <w:t>Photosynthetic theory</w:t>
            </w:r>
          </w:p>
        </w:tc>
        <w:tc>
          <w:tcPr>
            <w:tcW w:w="2300" w:type="dxa"/>
            <w:tcBorders/>
            <w:shd w:val="clear" w:color="auto" w:fill="ffffff"/>
            <w:tcMar>
              <w:top w:w="100" w:type="dxa"/>
              <w:left w:w="120" w:type="dxa"/>
              <w:bottom w:w="100" w:type="dxa"/>
              <w:right w:w="120" w:type="dxa"/>
            </w:tcMar>
            <w:vAlign w:val="center"/>
          </w:tcPr>
          <w:p w14:paraId="FDFD2C5E">
            <w:pPr>
              <w:pStyle w:val="style0"/>
              <w:spacing w:after="60"/>
              <w:rPr/>
            </w:pPr>
            <w:r>
              <w:rPr>
                <w:sz w:val="21"/>
                <w:szCs w:val="21"/>
              </w:rPr>
              <w:t>Glucose formation by chloroplasts in guard cells</w:t>
            </w:r>
          </w:p>
        </w:tc>
        <w:tc>
          <w:tcPr>
            <w:tcW w:w="2900" w:type="dxa"/>
            <w:tcBorders/>
            <w:shd w:val="clear" w:color="auto" w:fill="ffffff"/>
            <w:tcMar>
              <w:top w:w="100" w:type="dxa"/>
              <w:left w:w="120" w:type="dxa"/>
              <w:bottom w:w="100" w:type="dxa"/>
              <w:right w:w="120" w:type="dxa"/>
            </w:tcMar>
            <w:vAlign w:val="center"/>
          </w:tcPr>
          <w:p w14:paraId="1B86D623">
            <w:pPr>
              <w:pStyle w:val="style0"/>
              <w:spacing w:after="60"/>
              <w:rPr/>
            </w:pPr>
            <w:r>
              <w:rPr>
                <w:sz w:val="21"/>
                <w:szCs w:val="21"/>
              </w:rPr>
              <w:t>Guard cell chloroplasts photosynthesise, producing glucose. Glucose is osmotically active, raising osmotic pressure in the guard cells, which absorb water by osmosis from adjacent epidermal cells, become turgid and bulge outward — the stoma opens.</w:t>
            </w:r>
          </w:p>
        </w:tc>
        <w:tc>
          <w:tcPr>
            <w:tcW w:w="2900" w:type="dxa"/>
            <w:tcBorders/>
            <w:shd w:val="clear" w:color="auto" w:fill="ffffff"/>
            <w:tcMar>
              <w:top w:w="100" w:type="dxa"/>
              <w:left w:w="120" w:type="dxa"/>
              <w:bottom w:w="100" w:type="dxa"/>
              <w:right w:w="120" w:type="dxa"/>
            </w:tcMar>
            <w:vAlign w:val="center"/>
          </w:tcPr>
          <w:p w14:paraId="39EF1972">
            <w:pPr>
              <w:pStyle w:val="style0"/>
              <w:spacing w:after="60"/>
              <w:rPr/>
            </w:pPr>
            <w:r>
              <w:rPr>
                <w:sz w:val="21"/>
                <w:szCs w:val="21"/>
              </w:rPr>
              <w:t>In darkness, glucose is converted to starch (osmotically inactive), lowering osmotic pressure. Guard cells lose water by osmosis, become flaccid/plasmolysed, and the stoma closes.</w:t>
            </w:r>
          </w:p>
        </w:tc>
      </w:tr>
      <w:tr w14:paraId="471B59E2">
        <w:tblPrEx/>
        <w:trPr/>
        <w:tc>
          <w:tcPr>
            <w:tcW w:w="1900" w:type="dxa"/>
            <w:tcBorders/>
            <w:shd w:val="clear" w:color="auto" w:fill="eaf1f4"/>
            <w:tcMar>
              <w:top w:w="100" w:type="dxa"/>
              <w:left w:w="120" w:type="dxa"/>
              <w:bottom w:w="100" w:type="dxa"/>
              <w:right w:w="120" w:type="dxa"/>
            </w:tcMar>
            <w:vAlign w:val="center"/>
          </w:tcPr>
          <w:p w14:paraId="2AB765A6">
            <w:pPr>
              <w:pStyle w:val="style0"/>
              <w:spacing w:after="60"/>
              <w:rPr/>
            </w:pPr>
            <w:r>
              <w:rPr>
                <w:sz w:val="21"/>
                <w:szCs w:val="21"/>
              </w:rPr>
              <w:t>Starch–sugar interconversion theory</w:t>
            </w:r>
          </w:p>
        </w:tc>
        <w:tc>
          <w:tcPr>
            <w:tcW w:w="2300" w:type="dxa"/>
            <w:tcBorders/>
            <w:shd w:val="clear" w:color="auto" w:fill="eaf1f4"/>
            <w:tcMar>
              <w:top w:w="100" w:type="dxa"/>
              <w:left w:w="120" w:type="dxa"/>
              <w:bottom w:w="100" w:type="dxa"/>
              <w:right w:w="120" w:type="dxa"/>
            </w:tcMar>
            <w:vAlign w:val="center"/>
          </w:tcPr>
          <w:p w14:paraId="6A252835">
            <w:pPr>
              <w:pStyle w:val="style0"/>
              <w:spacing w:after="60"/>
              <w:rPr/>
            </w:pPr>
            <w:r>
              <w:rPr>
                <w:sz w:val="21"/>
                <w:szCs w:val="21"/>
              </w:rPr>
              <w:t>Utilisation of CO₂ during photosynthesis, which changes guard-cell pH</w:t>
            </w:r>
          </w:p>
        </w:tc>
        <w:tc>
          <w:tcPr>
            <w:tcW w:w="2900" w:type="dxa"/>
            <w:tcBorders/>
            <w:shd w:val="clear" w:color="auto" w:fill="eaf1f4"/>
            <w:tcMar>
              <w:top w:w="100" w:type="dxa"/>
              <w:left w:w="120" w:type="dxa"/>
              <w:bottom w:w="100" w:type="dxa"/>
              <w:right w:w="120" w:type="dxa"/>
            </w:tcMar>
            <w:vAlign w:val="center"/>
          </w:tcPr>
          <w:p w14:paraId="C82AC537">
            <w:pPr>
              <w:pStyle w:val="style0"/>
              <w:spacing w:after="60"/>
              <w:rPr/>
            </w:pPr>
            <w:r>
              <w:rPr>
                <w:sz w:val="21"/>
                <w:szCs w:val="21"/>
              </w:rPr>
              <w:t>Continuous use of CO₂ in photosynthesis raises guard-cell pH (less acidic). The higher pH favours conversion of starch to soluble sugar (glucose), which is osmotically active and draws water in by osmosis — guard cells become turgid and the stoma opens.</w:t>
            </w:r>
          </w:p>
        </w:tc>
        <w:tc>
          <w:tcPr>
            <w:tcW w:w="2900" w:type="dxa"/>
            <w:tcBorders/>
            <w:shd w:val="clear" w:color="auto" w:fill="eaf1f4"/>
            <w:tcMar>
              <w:top w:w="100" w:type="dxa"/>
              <w:left w:w="120" w:type="dxa"/>
              <w:bottom w:w="100" w:type="dxa"/>
              <w:right w:w="120" w:type="dxa"/>
            </w:tcMar>
            <w:vAlign w:val="center"/>
          </w:tcPr>
          <w:p w14:paraId="C5705113">
            <w:pPr>
              <w:pStyle w:val="style0"/>
              <w:spacing w:after="60"/>
              <w:rPr/>
            </w:pPr>
            <w:r>
              <w:rPr>
                <w:sz w:val="21"/>
                <w:szCs w:val="21"/>
              </w:rPr>
              <w:t>Without photosynthesis, CO₂ from respiration accumulates, lowering pH (more acidic). Low pH favours conversion of glucose back to starch, which is osmotically inactive; guard cells lose water, become flaccid, and the stoma closes.</w:t>
            </w:r>
          </w:p>
        </w:tc>
      </w:tr>
      <w:tr w14:paraId="6A033972">
        <w:tblPrEx/>
        <w:trPr/>
        <w:tc>
          <w:tcPr>
            <w:tcW w:w="1900" w:type="dxa"/>
            <w:tcBorders/>
            <w:shd w:val="clear" w:color="auto" w:fill="ffffff"/>
            <w:tcMar>
              <w:top w:w="100" w:type="dxa"/>
              <w:left w:w="120" w:type="dxa"/>
              <w:bottom w:w="100" w:type="dxa"/>
              <w:right w:w="120" w:type="dxa"/>
            </w:tcMar>
            <w:vAlign w:val="center"/>
          </w:tcPr>
          <w:p w14:paraId="398D6247">
            <w:pPr>
              <w:pStyle w:val="style0"/>
              <w:spacing w:after="60"/>
              <w:rPr/>
            </w:pPr>
            <w:r>
              <w:rPr>
                <w:sz w:val="21"/>
                <w:szCs w:val="21"/>
              </w:rPr>
              <w:t>Potassium-ion theory</w:t>
            </w:r>
          </w:p>
        </w:tc>
        <w:tc>
          <w:tcPr>
            <w:tcW w:w="2300" w:type="dxa"/>
            <w:tcBorders/>
            <w:shd w:val="clear" w:color="auto" w:fill="ffffff"/>
            <w:tcMar>
              <w:top w:w="100" w:type="dxa"/>
              <w:left w:w="120" w:type="dxa"/>
              <w:bottom w:w="100" w:type="dxa"/>
              <w:right w:w="120" w:type="dxa"/>
            </w:tcMar>
            <w:vAlign w:val="center"/>
          </w:tcPr>
          <w:p w14:paraId="9878F4C5">
            <w:pPr>
              <w:pStyle w:val="style0"/>
              <w:spacing w:after="60"/>
              <w:rPr/>
            </w:pPr>
            <w:r>
              <w:rPr>
                <w:sz w:val="21"/>
                <w:szCs w:val="21"/>
              </w:rPr>
              <w:t>ATP formation during photosynthesis driving active transport of K⁺ ions</w:t>
            </w:r>
          </w:p>
        </w:tc>
        <w:tc>
          <w:tcPr>
            <w:tcW w:w="2900" w:type="dxa"/>
            <w:tcBorders/>
            <w:shd w:val="clear" w:color="auto" w:fill="ffffff"/>
            <w:tcMar>
              <w:top w:w="100" w:type="dxa"/>
              <w:left w:w="120" w:type="dxa"/>
              <w:bottom w:w="100" w:type="dxa"/>
              <w:right w:w="120" w:type="dxa"/>
            </w:tcMar>
            <w:vAlign w:val="center"/>
          </w:tcPr>
          <w:p w14:paraId="E8929680">
            <w:pPr>
              <w:pStyle w:val="style0"/>
              <w:spacing w:after="60"/>
              <w:rPr/>
            </w:pPr>
            <w:r>
              <w:rPr>
                <w:sz w:val="21"/>
                <w:szCs w:val="21"/>
              </w:rPr>
              <w:t>Light-driven ATP production supplies energy for active transport of potassium ions from epidermal cells into the guard cells (with H⁺ moving out). Accumulated K⁺ raises osmotic pressure; guard cells absorb water by osmosis, become turgid, and the stoma opens.</w:t>
            </w:r>
          </w:p>
        </w:tc>
        <w:tc>
          <w:tcPr>
            <w:tcW w:w="2900" w:type="dxa"/>
            <w:tcBorders/>
            <w:shd w:val="clear" w:color="auto" w:fill="ffffff"/>
            <w:tcMar>
              <w:top w:w="100" w:type="dxa"/>
              <w:left w:w="120" w:type="dxa"/>
              <w:bottom w:w="100" w:type="dxa"/>
              <w:right w:w="120" w:type="dxa"/>
            </w:tcMar>
            <w:vAlign w:val="center"/>
          </w:tcPr>
          <w:p w14:paraId="FD7B6A62">
            <w:pPr>
              <w:pStyle w:val="style0"/>
              <w:spacing w:after="60"/>
              <w:rPr/>
            </w:pPr>
            <w:r>
              <w:rPr>
                <w:sz w:val="21"/>
                <w:szCs w:val="21"/>
              </w:rPr>
              <w:t>ATP levels fall, so there is no energy to drive K⁺ uptake. Potassium ions diffuse out of the guard cells (H⁺ moves in), osmotic pressure falls, guard cells lose water, become plasmolysed, and the stoma closes.</w:t>
            </w:r>
          </w:p>
        </w:tc>
      </w:tr>
    </w:tbl>
    <w:p w14:paraId="FD36787B">
      <w:pPr>
        <w:pStyle w:val="style0"/>
        <w:spacing w:after="250"/>
        <w:rPr/>
      </w:pPr>
    </w:p>
    <w:p w14:paraId="BF728C94">
      <w:pPr>
        <w:pStyle w:val="style4098"/>
        <w:spacing w:before="300" w:after="150"/>
        <w:rPr/>
      </w:pPr>
      <w:r>
        <w:rPr>
          <w:b/>
          <w:bCs/>
        </w:rPr>
        <w:t>Distribution of Stomata in Different Habitats</w:t>
      </w:r>
    </w:p>
    <w:p w14:paraId="405FD387">
      <w:pPr>
        <w:pStyle w:val="style0"/>
        <w:spacing w:after="150"/>
        <w:rPr/>
      </w:pPr>
      <w:r>
        <w:t>Based on habitat and water availability, plants are grouped as xerophytes (dry habitats), mesophytes (habitats with adequate water), hydrophytes (aquatic habitats) and halophytes (saline habitats).</w:t>
      </w:r>
    </w:p>
    <w:p w14:paraId="8C29A38B">
      <w:pPr>
        <w:pStyle w:val="style4099"/>
        <w:spacing w:before="200" w:after="100"/>
        <w:rPr/>
      </w:pPr>
      <w:r>
        <w:rPr>
          <w:b/>
          <w:bCs/>
          <w:color w:val="1f4e5f"/>
        </w:rPr>
        <w:t>Xerophytes</w:t>
      </w:r>
    </w:p>
    <w:p w14:paraId="DB3B9D36">
      <w:pPr>
        <w:pStyle w:val="style0"/>
        <w:spacing w:before="150" w:after="60"/>
        <w:jc w:val="center"/>
        <w:rPr/>
      </w:pPr>
      <w:r>
        <w:rPr/>
        <w:drawing>
          <wp:inline distL="0" distT="0" distB="0" distR="0">
            <wp:extent cx="3809999" cy="1466850"/>
            <wp:effectExtent l="0" t="0" r="0" b="0"/>
            <wp:docPr id="1033" name="" descr=""/>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9" cstate="print"/>
                    <a:srcRect l="0" t="0" r="0" b="0"/>
                    <a:stretch/>
                  </pic:blipFill>
                  <pic:spPr>
                    <a:xfrm rot="0">
                      <a:off x="0" y="0"/>
                      <a:ext cx="3809999" cy="1466850"/>
                    </a:xfrm>
                    <a:prstGeom prst="rect"/>
                  </pic:spPr>
                </pic:pic>
              </a:graphicData>
            </a:graphic>
          </wp:inline>
        </w:drawing>
      </w:r>
    </w:p>
    <w:p w14:paraId="FA81FE02">
      <w:pPr>
        <w:pStyle w:val="style0"/>
        <w:spacing w:before="60" w:after="300"/>
        <w:jc w:val="center"/>
        <w:rPr/>
      </w:pPr>
      <w:r>
        <w:rPr>
          <w:i/>
          <w:iCs/>
          <w:color w:val="8b0000"/>
          <w:sz w:val="20"/>
          <w:szCs w:val="20"/>
        </w:rPr>
        <w:t>Figure 8: Transverse section of a xerophyte leaf</w:t>
      </w:r>
    </w:p>
    <w:p w14:paraId="12C35B5A">
      <w:pPr>
        <w:pStyle w:val="style0"/>
        <w:spacing w:after="150"/>
        <w:rPr/>
      </w:pPr>
      <w:r>
        <w:t>Xerophytes are adapted to arid/semi-arid habitats. They generally have fewer, smaller stomata than mesophytes, located mainly on the lower leaf surface. In some xerophytes stomata are sunken in pits/grooves, and in others stomata open at night and close (or only partially open) during the day. These adaptations reduce water loss by transpiration and evaporation while still permitting gaseous exchange.</w:t>
      </w:r>
    </w:p>
    <w:p w14:paraId="4105BDBC">
      <w:pPr>
        <w:pStyle w:val="style4099"/>
        <w:spacing w:before="200" w:after="100"/>
        <w:rPr/>
      </w:pPr>
      <w:r>
        <w:rPr>
          <w:b/>
          <w:bCs/>
          <w:color w:val="1f4e5f"/>
        </w:rPr>
        <w:t>Mesophytes</w:t>
      </w:r>
    </w:p>
    <w:p w14:paraId="5A46B904">
      <w:pPr>
        <w:pStyle w:val="style0"/>
        <w:spacing w:before="150" w:after="60"/>
        <w:jc w:val="center"/>
        <w:rPr/>
      </w:pPr>
      <w:r>
        <w:rPr/>
        <w:drawing>
          <wp:inline distL="0" distT="0" distB="0" distR="0">
            <wp:extent cx="3809999" cy="1552575"/>
            <wp:effectExtent l="0" t="0" r="0" b="0"/>
            <wp:docPr id="1034" name="" descr=""/>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0" cstate="print"/>
                    <a:srcRect l="0" t="0" r="0" b="0"/>
                    <a:stretch/>
                  </pic:blipFill>
                  <pic:spPr>
                    <a:xfrm rot="0">
                      <a:off x="0" y="0"/>
                      <a:ext cx="3809999" cy="1552575"/>
                    </a:xfrm>
                    <a:prstGeom prst="rect"/>
                  </pic:spPr>
                </pic:pic>
              </a:graphicData>
            </a:graphic>
          </wp:inline>
        </w:drawing>
      </w:r>
    </w:p>
    <w:p w14:paraId="F5A8AD05">
      <w:pPr>
        <w:pStyle w:val="style0"/>
        <w:spacing w:before="60" w:after="300"/>
        <w:jc w:val="center"/>
        <w:rPr/>
      </w:pPr>
      <w:r>
        <w:rPr>
          <w:i/>
          <w:iCs/>
          <w:color w:val="8b0000"/>
          <w:sz w:val="20"/>
          <w:szCs w:val="20"/>
        </w:rPr>
        <w:t>Figure 9: Transverse section of a mesophyte leaf</w:t>
      </w:r>
    </w:p>
    <w:p w14:paraId="AAA2A73F">
      <w:pPr>
        <w:pStyle w:val="style0"/>
        <w:spacing w:after="150"/>
        <w:rPr/>
      </w:pPr>
      <w:r>
        <w:t>Mesophytes grow where water supply is adequate. They have a fairly large number of medium-sized stomata, distributed in roughly equal numbers on both leaf surfaces.</w:t>
      </w:r>
    </w:p>
    <w:p w14:paraId="5E6EB9B1">
      <w:pPr>
        <w:pStyle w:val="style4099"/>
        <w:spacing w:before="200" w:after="100"/>
        <w:rPr/>
      </w:pPr>
      <w:r>
        <w:rPr>
          <w:b/>
          <w:bCs/>
          <w:color w:val="1f4e5f"/>
        </w:rPr>
        <w:t>Hydrophytes</w:t>
      </w:r>
    </w:p>
    <w:p w14:paraId="407FF00C">
      <w:pPr>
        <w:pStyle w:val="style0"/>
        <w:spacing w:before="150" w:after="60"/>
        <w:jc w:val="center"/>
        <w:rPr/>
      </w:pPr>
      <w:r>
        <w:rPr/>
        <w:drawing>
          <wp:inline distL="0" distT="0" distB="0" distR="0">
            <wp:extent cx="4572000" cy="1800225"/>
            <wp:effectExtent l="0" t="0" r="0" b="0"/>
            <wp:docPr id="1035" name="" descr=""/>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1" cstate="print"/>
                    <a:srcRect l="0" t="0" r="0" b="0"/>
                    <a:stretch/>
                  </pic:blipFill>
                  <pic:spPr>
                    <a:xfrm rot="0">
                      <a:off x="0" y="0"/>
                      <a:ext cx="4572000" cy="1800225"/>
                    </a:xfrm>
                    <a:prstGeom prst="rect"/>
                  </pic:spPr>
                </pic:pic>
              </a:graphicData>
            </a:graphic>
          </wp:inline>
        </w:drawing>
      </w:r>
    </w:p>
    <w:p w14:paraId="04795E92">
      <w:pPr>
        <w:pStyle w:val="style0"/>
        <w:spacing w:before="60" w:after="300"/>
        <w:jc w:val="center"/>
        <w:rPr/>
      </w:pPr>
      <w:r>
        <w:rPr>
          <w:i/>
          <w:iCs/>
          <w:color w:val="8b0000"/>
          <w:sz w:val="20"/>
          <w:szCs w:val="20"/>
        </w:rPr>
        <w:t>Figure 10: Transverse section of a hydrophyte leaf</w:t>
      </w:r>
    </w:p>
    <w:p w14:paraId="2E2DC35C">
      <w:pPr>
        <w:pStyle w:val="style0"/>
        <w:spacing w:after="150"/>
        <w:rPr/>
      </w:pPr>
      <w:r>
        <w:t>Hydrophytes are aquatic plants (some, like Nymphaea/water lily, are not fully submerged). They have many large stomata, mostly on the upper leaf surface (exposed to air), which also help release excess water to the atmosphere. Hydrophytes possess aerenchyma tissue with large air spaces for gaseous exchange and buoyancy, and their stems/leaves have little or no lower cuticle.</w:t>
      </w:r>
    </w:p>
    <w:p w14:paraId="E7F7240B">
      <w:pPr>
        <w:pStyle w:val="style4098"/>
        <w:spacing w:before="300" w:after="150"/>
        <w:rPr/>
      </w:pPr>
      <w:r>
        <w:rPr>
          <w:b/>
          <w:bCs/>
        </w:rPr>
        <w:t>Practical Activity 3: Comparing Stomatal Distribution in Different Habitats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2200"/>
        <w:gridCol w:w="7300"/>
      </w:tblGrid>
      <w:tr w14:paraId="1DBE3C36">
        <w:trPr/>
        <w:tc>
          <w:tcPr>
            <w:tcW w:w="2200" w:type="dxa"/>
            <w:tcBorders/>
            <w:shd w:val="clear" w:color="auto" w:fill="1f4e5f"/>
            <w:tcMar>
              <w:top w:w="100" w:type="dxa"/>
              <w:left w:w="120" w:type="dxa"/>
              <w:bottom w:w="100" w:type="dxa"/>
              <w:right w:w="120" w:type="dxa"/>
            </w:tcMar>
            <w:vAlign w:val="center"/>
          </w:tcPr>
          <w:p w14:paraId="74312213">
            <w:pPr>
              <w:pStyle w:val="style0"/>
              <w:spacing w:after="60"/>
              <w:rPr/>
            </w:pPr>
            <w:r>
              <w:rPr>
                <w:b/>
                <w:bCs/>
                <w:color w:val="ffffff"/>
                <w:sz w:val="21"/>
                <w:szCs w:val="21"/>
              </w:rPr>
              <w:t>Aim</w:t>
            </w:r>
          </w:p>
        </w:tc>
        <w:tc>
          <w:tcPr>
            <w:tcW w:w="7300" w:type="dxa"/>
            <w:tcBorders/>
            <w:shd w:val="clear" w:color="auto" w:fill="ffffff"/>
            <w:tcMar>
              <w:top w:w="100" w:type="dxa"/>
              <w:left w:w="120" w:type="dxa"/>
              <w:bottom w:w="100" w:type="dxa"/>
              <w:right w:w="120" w:type="dxa"/>
            </w:tcMar>
            <w:vAlign w:val="center"/>
          </w:tcPr>
          <w:p w14:paraId="6F5EAEDE">
            <w:pPr>
              <w:pStyle w:val="style0"/>
              <w:spacing w:after="60"/>
              <w:rPr/>
            </w:pPr>
            <w:r>
              <w:rPr>
                <w:sz w:val="21"/>
                <w:szCs w:val="21"/>
              </w:rPr>
              <w:t>To observe and compare the number, size and distribution of stomata on leaves of xerophytes, mesophytes and hydrophytes.</w:t>
            </w:r>
          </w:p>
        </w:tc>
      </w:tr>
      <w:tr w14:paraId="415777D9">
        <w:tblPrEx/>
        <w:trPr/>
        <w:tc>
          <w:tcPr>
            <w:tcW w:w="2200" w:type="dxa"/>
            <w:tcBorders/>
            <w:shd w:val="clear" w:color="auto" w:fill="1f4e5f"/>
            <w:tcMar>
              <w:top w:w="100" w:type="dxa"/>
              <w:left w:w="120" w:type="dxa"/>
              <w:bottom w:w="100" w:type="dxa"/>
              <w:right w:w="120" w:type="dxa"/>
            </w:tcMar>
            <w:vAlign w:val="center"/>
          </w:tcPr>
          <w:p w14:paraId="288EBE03">
            <w:pPr>
              <w:pStyle w:val="style0"/>
              <w:spacing w:after="60"/>
              <w:rPr/>
            </w:pPr>
            <w:r>
              <w:rPr>
                <w:b/>
                <w:bCs/>
                <w:color w:val="ffffff"/>
                <w:sz w:val="21"/>
                <w:szCs w:val="21"/>
              </w:rPr>
              <w:t>Requirements</w:t>
            </w:r>
          </w:p>
        </w:tc>
        <w:tc>
          <w:tcPr>
            <w:tcW w:w="7300" w:type="dxa"/>
            <w:tcBorders/>
            <w:shd w:val="clear" w:color="auto" w:fill="eaf1f4"/>
            <w:tcMar>
              <w:top w:w="100" w:type="dxa"/>
              <w:left w:w="120" w:type="dxa"/>
              <w:bottom w:w="100" w:type="dxa"/>
              <w:right w:w="120" w:type="dxa"/>
            </w:tcMar>
            <w:vAlign w:val="center"/>
          </w:tcPr>
          <w:p w14:paraId="385A9DC8">
            <w:pPr>
              <w:pStyle w:val="style0"/>
              <w:spacing w:after="60"/>
              <w:rPr/>
            </w:pPr>
            <w:r>
              <w:rPr>
                <w:sz w:val="21"/>
                <w:szCs w:val="21"/>
              </w:rPr>
              <w:t>Fresh leaves of a xerophyte, a mesophyte and a hydrophyte (or permanent slides/photomicrographs), light microscope, methylene blue, hand gloves.</w:t>
            </w:r>
          </w:p>
        </w:tc>
      </w:tr>
      <w:tr w14:paraId="6640EF90">
        <w:tblPrEx/>
        <w:trPr/>
        <w:tc>
          <w:tcPr>
            <w:tcW w:w="2200" w:type="dxa"/>
            <w:tcBorders/>
            <w:shd w:val="clear" w:color="auto" w:fill="1f4e5f"/>
            <w:tcMar>
              <w:top w:w="100" w:type="dxa"/>
              <w:left w:w="120" w:type="dxa"/>
              <w:bottom w:w="100" w:type="dxa"/>
              <w:right w:w="120" w:type="dxa"/>
            </w:tcMar>
            <w:vAlign w:val="center"/>
          </w:tcPr>
          <w:p w14:paraId="3A89613C">
            <w:pPr>
              <w:pStyle w:val="style0"/>
              <w:spacing w:after="60"/>
              <w:rPr/>
            </w:pPr>
            <w:r>
              <w:rPr>
                <w:b/>
                <w:bCs/>
                <w:color w:val="ffffff"/>
                <w:sz w:val="21"/>
                <w:szCs w:val="21"/>
              </w:rPr>
              <w:t>Procedure (summary)</w:t>
            </w:r>
          </w:p>
        </w:tc>
        <w:tc>
          <w:tcPr>
            <w:tcW w:w="7300" w:type="dxa"/>
            <w:tcBorders/>
            <w:shd w:val="clear" w:color="auto" w:fill="ffffff"/>
            <w:tcMar>
              <w:top w:w="100" w:type="dxa"/>
              <w:left w:w="120" w:type="dxa"/>
              <w:bottom w:w="100" w:type="dxa"/>
              <w:right w:w="120" w:type="dxa"/>
            </w:tcMar>
            <w:vAlign w:val="center"/>
          </w:tcPr>
          <w:p w14:paraId="7FF810CA">
            <w:pPr>
              <w:pStyle w:val="style0"/>
              <w:spacing w:after="60"/>
              <w:rPr/>
            </w:pPr>
            <w:r>
              <w:rPr>
                <w:sz w:val="21"/>
                <w:szCs w:val="21"/>
              </w:rPr>
              <w:t>Peel the upper epidermis of each leaf type, stain with methylene blue, mount and observe under low power; count and record the number of stomata visible and estimate stoma size. Repeat for the lower epidermis of each leaf type.</w:t>
            </w:r>
          </w:p>
        </w:tc>
      </w:tr>
      <w:tr w14:paraId="C769A6A7">
        <w:tblPrEx/>
        <w:trPr/>
        <w:tc>
          <w:tcPr>
            <w:tcW w:w="2200" w:type="dxa"/>
            <w:tcBorders/>
            <w:shd w:val="clear" w:color="auto" w:fill="1f4e5f"/>
            <w:tcMar>
              <w:top w:w="100" w:type="dxa"/>
              <w:left w:w="120" w:type="dxa"/>
              <w:bottom w:w="100" w:type="dxa"/>
              <w:right w:w="120" w:type="dxa"/>
            </w:tcMar>
            <w:vAlign w:val="center"/>
          </w:tcPr>
          <w:p w14:paraId="08CA5506">
            <w:pPr>
              <w:pStyle w:val="style0"/>
              <w:spacing w:after="60"/>
              <w:rPr/>
            </w:pPr>
            <w:r>
              <w:rPr>
                <w:b/>
                <w:bCs/>
                <w:color w:val="ffffff"/>
                <w:sz w:val="21"/>
                <w:szCs w:val="21"/>
              </w:rPr>
              <w:t>Observation (record in a table)</w:t>
            </w:r>
          </w:p>
        </w:tc>
        <w:tc>
          <w:tcPr>
            <w:tcW w:w="7300" w:type="dxa"/>
            <w:tcBorders/>
            <w:tcMar>
              <w:top w:w="100" w:type="dxa"/>
              <w:left w:w="120" w:type="dxa"/>
              <w:bottom w:w="100" w:type="dxa"/>
              <w:right w:w="120" w:type="dxa"/>
            </w:tcMar>
            <w:vAlign w:val="center"/>
          </w:tcPr>
          <w:p w14:paraId="0757EE01">
            <w:pPr>
              <w:pStyle w:val="style0"/>
              <w:rPr/>
            </w:pPr>
          </w:p>
          <w:tbl>
            <w:tblPr>
              <w:tblW w:w="7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1600"/>
              <w:gridCol w:w="1900"/>
              <w:gridCol w:w="2300"/>
              <w:gridCol w:w="1200"/>
            </w:tblGrid>
            <w:tr w14:paraId="02A9776F">
              <w:trPr>
                <w:tblHeader/>
              </w:trPr>
              <w:tc>
                <w:tcPr>
                  <w:tcW w:w="1600" w:type="dxa"/>
                  <w:tcBorders/>
                  <w:shd w:val="clear" w:color="auto" w:fill="1f4e5f"/>
                  <w:tcMar>
                    <w:top w:w="60" w:type="dxa"/>
                    <w:left w:w="80" w:type="dxa"/>
                    <w:bottom w:w="60" w:type="dxa"/>
                    <w:right w:w="80" w:type="dxa"/>
                  </w:tcMar>
                </w:tcPr>
                <w:p w14:paraId="034F0B86">
                  <w:pPr>
                    <w:pStyle w:val="style0"/>
                    <w:rPr/>
                  </w:pPr>
                  <w:r>
                    <w:rPr>
                      <w:b/>
                      <w:bCs/>
                      <w:color w:val="ffffff"/>
                      <w:sz w:val="19"/>
                      <w:szCs w:val="19"/>
                    </w:rPr>
                    <w:t>Leaf of</w:t>
                  </w:r>
                </w:p>
              </w:tc>
              <w:tc>
                <w:tcPr>
                  <w:tcW w:w="1900" w:type="dxa"/>
                  <w:tcBorders/>
                  <w:shd w:val="clear" w:color="auto" w:fill="1f4e5f"/>
                  <w:tcMar>
                    <w:top w:w="60" w:type="dxa"/>
                    <w:left w:w="80" w:type="dxa"/>
                    <w:bottom w:w="60" w:type="dxa"/>
                    <w:right w:w="80" w:type="dxa"/>
                  </w:tcMar>
                </w:tcPr>
                <w:p w14:paraId="C453A67B">
                  <w:pPr>
                    <w:pStyle w:val="style0"/>
                    <w:rPr/>
                  </w:pPr>
                  <w:r>
                    <w:rPr>
                      <w:b/>
                      <w:bCs/>
                      <w:color w:val="ffffff"/>
                      <w:sz w:val="19"/>
                      <w:szCs w:val="19"/>
                    </w:rPr>
                    <w:t>Stomata: upper</w:t>
                  </w:r>
                </w:p>
              </w:tc>
              <w:tc>
                <w:tcPr>
                  <w:tcW w:w="2300" w:type="dxa"/>
                  <w:tcBorders/>
                  <w:shd w:val="clear" w:color="auto" w:fill="1f4e5f"/>
                  <w:tcMar>
                    <w:top w:w="60" w:type="dxa"/>
                    <w:left w:w="80" w:type="dxa"/>
                    <w:bottom w:w="60" w:type="dxa"/>
                    <w:right w:w="80" w:type="dxa"/>
                  </w:tcMar>
                </w:tcPr>
                <w:p w14:paraId="5E3C94B0">
                  <w:pPr>
                    <w:pStyle w:val="style0"/>
                    <w:rPr/>
                  </w:pPr>
                  <w:r>
                    <w:rPr>
                      <w:b/>
                      <w:bCs/>
                      <w:color w:val="ffffff"/>
                      <w:sz w:val="19"/>
                      <w:szCs w:val="19"/>
                    </w:rPr>
                    <w:t>Stomata: lower</w:t>
                  </w:r>
                </w:p>
              </w:tc>
              <w:tc>
                <w:tcPr>
                  <w:tcW w:w="1200" w:type="dxa"/>
                  <w:tcBorders/>
                  <w:shd w:val="clear" w:color="auto" w:fill="1f4e5f"/>
                  <w:tcMar>
                    <w:top w:w="60" w:type="dxa"/>
                    <w:left w:w="80" w:type="dxa"/>
                    <w:bottom w:w="60" w:type="dxa"/>
                    <w:right w:w="80" w:type="dxa"/>
                  </w:tcMar>
                </w:tcPr>
                <w:p w14:paraId="9D4DB260">
                  <w:pPr>
                    <w:pStyle w:val="style0"/>
                    <w:rPr/>
                  </w:pPr>
                  <w:r>
                    <w:rPr>
                      <w:b/>
                      <w:bCs/>
                      <w:color w:val="ffffff"/>
                      <w:sz w:val="19"/>
                      <w:szCs w:val="19"/>
                    </w:rPr>
                    <w:t>Stoma size</w:t>
                  </w:r>
                </w:p>
              </w:tc>
            </w:tr>
            <w:tr w14:paraId="E0BD4B75">
              <w:tblPrEx/>
              <w:trPr/>
              <w:tc>
                <w:tcPr>
                  <w:tcW w:w="1600" w:type="dxa"/>
                  <w:tcBorders/>
                  <w:shd w:val="clear" w:color="auto" w:fill="ffffff"/>
                  <w:tcMar>
                    <w:top w:w="60" w:type="dxa"/>
                    <w:left w:w="80" w:type="dxa"/>
                    <w:bottom w:w="60" w:type="dxa"/>
                    <w:right w:w="80" w:type="dxa"/>
                  </w:tcMar>
                </w:tcPr>
                <w:p w14:paraId="F7FCE7F3">
                  <w:pPr>
                    <w:pStyle w:val="style0"/>
                    <w:rPr/>
                  </w:pPr>
                  <w:r>
                    <w:rPr>
                      <w:sz w:val="19"/>
                      <w:szCs w:val="19"/>
                    </w:rPr>
                    <w:t>Xerophyte</w:t>
                  </w:r>
                </w:p>
              </w:tc>
              <w:tc>
                <w:tcPr>
                  <w:tcW w:w="1900" w:type="dxa"/>
                  <w:tcBorders/>
                  <w:shd w:val="clear" w:color="auto" w:fill="ffffff"/>
                  <w:tcMar>
                    <w:top w:w="60" w:type="dxa"/>
                    <w:left w:w="80" w:type="dxa"/>
                    <w:bottom w:w="60" w:type="dxa"/>
                    <w:right w:w="80" w:type="dxa"/>
                  </w:tcMar>
                </w:tcPr>
                <w:p w14:paraId="A5F4BAB8">
                  <w:pPr>
                    <w:pStyle w:val="style0"/>
                    <w:rPr/>
                  </w:pPr>
                  <w:r>
                    <w:rPr>
                      <w:sz w:val="19"/>
                      <w:szCs w:val="19"/>
                    </w:rPr>
                    <w:t>Few / none</w:t>
                  </w:r>
                </w:p>
              </w:tc>
              <w:tc>
                <w:tcPr>
                  <w:tcW w:w="2300" w:type="dxa"/>
                  <w:tcBorders/>
                  <w:shd w:val="clear" w:color="auto" w:fill="ffffff"/>
                  <w:tcMar>
                    <w:top w:w="60" w:type="dxa"/>
                    <w:left w:w="80" w:type="dxa"/>
                    <w:bottom w:w="60" w:type="dxa"/>
                    <w:right w:w="80" w:type="dxa"/>
                  </w:tcMar>
                </w:tcPr>
                <w:p w14:paraId="0EA75ED3">
                  <w:pPr>
                    <w:pStyle w:val="style0"/>
                    <w:rPr/>
                  </w:pPr>
                  <w:r>
                    <w:rPr>
                      <w:sz w:val="19"/>
                      <w:szCs w:val="19"/>
                    </w:rPr>
                    <w:t>Few, small, sunken</w:t>
                  </w:r>
                </w:p>
              </w:tc>
              <w:tc>
                <w:tcPr>
                  <w:tcW w:w="1200" w:type="dxa"/>
                  <w:tcBorders/>
                  <w:shd w:val="clear" w:color="auto" w:fill="ffffff"/>
                  <w:tcMar>
                    <w:top w:w="60" w:type="dxa"/>
                    <w:left w:w="80" w:type="dxa"/>
                    <w:bottom w:w="60" w:type="dxa"/>
                    <w:right w:w="80" w:type="dxa"/>
                  </w:tcMar>
                </w:tcPr>
                <w:p w14:paraId="0CA3C79C">
                  <w:pPr>
                    <w:pStyle w:val="style0"/>
                    <w:rPr/>
                  </w:pPr>
                  <w:r>
                    <w:rPr>
                      <w:sz w:val="19"/>
                      <w:szCs w:val="19"/>
                    </w:rPr>
                    <w:t>Small</w:t>
                  </w:r>
                </w:p>
              </w:tc>
            </w:tr>
            <w:tr w14:paraId="3E08B4E9">
              <w:tblPrEx/>
              <w:trPr/>
              <w:tc>
                <w:tcPr>
                  <w:tcW w:w="1600" w:type="dxa"/>
                  <w:tcBorders/>
                  <w:shd w:val="clear" w:color="auto" w:fill="eaf1f4"/>
                  <w:tcMar>
                    <w:top w:w="60" w:type="dxa"/>
                    <w:left w:w="80" w:type="dxa"/>
                    <w:bottom w:w="60" w:type="dxa"/>
                    <w:right w:w="80" w:type="dxa"/>
                  </w:tcMar>
                </w:tcPr>
                <w:p w14:paraId="27A74242">
                  <w:pPr>
                    <w:pStyle w:val="style0"/>
                    <w:rPr/>
                  </w:pPr>
                  <w:r>
                    <w:rPr>
                      <w:sz w:val="19"/>
                      <w:szCs w:val="19"/>
                    </w:rPr>
                    <w:t>Mesophyte</w:t>
                  </w:r>
                </w:p>
              </w:tc>
              <w:tc>
                <w:tcPr>
                  <w:tcW w:w="1900" w:type="dxa"/>
                  <w:tcBorders/>
                  <w:shd w:val="clear" w:color="auto" w:fill="eaf1f4"/>
                  <w:tcMar>
                    <w:top w:w="60" w:type="dxa"/>
                    <w:left w:w="80" w:type="dxa"/>
                    <w:bottom w:w="60" w:type="dxa"/>
                    <w:right w:w="80" w:type="dxa"/>
                  </w:tcMar>
                </w:tcPr>
                <w:p w14:paraId="6EE1C0CE">
                  <w:pPr>
                    <w:pStyle w:val="style0"/>
                    <w:rPr/>
                  </w:pPr>
                  <w:r>
                    <w:rPr>
                      <w:sz w:val="19"/>
                      <w:szCs w:val="19"/>
                    </w:rPr>
                    <w:t>Moderate</w:t>
                  </w:r>
                </w:p>
              </w:tc>
              <w:tc>
                <w:tcPr>
                  <w:tcW w:w="2300" w:type="dxa"/>
                  <w:tcBorders/>
                  <w:shd w:val="clear" w:color="auto" w:fill="eaf1f4"/>
                  <w:tcMar>
                    <w:top w:w="60" w:type="dxa"/>
                    <w:left w:w="80" w:type="dxa"/>
                    <w:bottom w:w="60" w:type="dxa"/>
                    <w:right w:w="80" w:type="dxa"/>
                  </w:tcMar>
                </w:tcPr>
                <w:p w14:paraId="D014DDAD">
                  <w:pPr>
                    <w:pStyle w:val="style0"/>
                    <w:rPr/>
                  </w:pPr>
                  <w:r>
                    <w:rPr>
                      <w:sz w:val="19"/>
                      <w:szCs w:val="19"/>
                    </w:rPr>
                    <w:t>Moderate (~equal)</w:t>
                  </w:r>
                </w:p>
              </w:tc>
              <w:tc>
                <w:tcPr>
                  <w:tcW w:w="1200" w:type="dxa"/>
                  <w:tcBorders/>
                  <w:shd w:val="clear" w:color="auto" w:fill="eaf1f4"/>
                  <w:tcMar>
                    <w:top w:w="60" w:type="dxa"/>
                    <w:left w:w="80" w:type="dxa"/>
                    <w:bottom w:w="60" w:type="dxa"/>
                    <w:right w:w="80" w:type="dxa"/>
                  </w:tcMar>
                </w:tcPr>
                <w:p w14:paraId="BC6D1595">
                  <w:pPr>
                    <w:pStyle w:val="style0"/>
                    <w:rPr/>
                  </w:pPr>
                  <w:r>
                    <w:rPr>
                      <w:sz w:val="19"/>
                      <w:szCs w:val="19"/>
                    </w:rPr>
                    <w:t>Medium</w:t>
                  </w:r>
                </w:p>
              </w:tc>
            </w:tr>
            <w:tr w14:paraId="E81EF662">
              <w:tblPrEx/>
              <w:trPr/>
              <w:tc>
                <w:tcPr>
                  <w:tcW w:w="1600" w:type="dxa"/>
                  <w:tcBorders/>
                  <w:shd w:val="clear" w:color="auto" w:fill="ffffff"/>
                  <w:tcMar>
                    <w:top w:w="60" w:type="dxa"/>
                    <w:left w:w="80" w:type="dxa"/>
                    <w:bottom w:w="60" w:type="dxa"/>
                    <w:right w:w="80" w:type="dxa"/>
                  </w:tcMar>
                </w:tcPr>
                <w:p w14:paraId="8D11FE02">
                  <w:pPr>
                    <w:pStyle w:val="style0"/>
                    <w:rPr/>
                  </w:pPr>
                  <w:r>
                    <w:rPr>
                      <w:sz w:val="19"/>
                      <w:szCs w:val="19"/>
                    </w:rPr>
                    <w:t>Hydrophyte</w:t>
                  </w:r>
                </w:p>
              </w:tc>
              <w:tc>
                <w:tcPr>
                  <w:tcW w:w="1900" w:type="dxa"/>
                  <w:tcBorders/>
                  <w:shd w:val="clear" w:color="auto" w:fill="ffffff"/>
                  <w:tcMar>
                    <w:top w:w="60" w:type="dxa"/>
                    <w:left w:w="80" w:type="dxa"/>
                    <w:bottom w:w="60" w:type="dxa"/>
                    <w:right w:w="80" w:type="dxa"/>
                  </w:tcMar>
                </w:tcPr>
                <w:p w14:paraId="D195C6A5">
                  <w:pPr>
                    <w:pStyle w:val="style0"/>
                    <w:rPr/>
                  </w:pPr>
                  <w:r>
                    <w:rPr>
                      <w:sz w:val="19"/>
                      <w:szCs w:val="19"/>
                    </w:rPr>
                    <w:t>Many, large</w:t>
                  </w:r>
                </w:p>
              </w:tc>
              <w:tc>
                <w:tcPr>
                  <w:tcW w:w="2300" w:type="dxa"/>
                  <w:tcBorders/>
                  <w:shd w:val="clear" w:color="auto" w:fill="ffffff"/>
                  <w:tcMar>
                    <w:top w:w="60" w:type="dxa"/>
                    <w:left w:w="80" w:type="dxa"/>
                    <w:bottom w:w="60" w:type="dxa"/>
                    <w:right w:w="80" w:type="dxa"/>
                  </w:tcMar>
                </w:tcPr>
                <w:p w14:paraId="92DB5630">
                  <w:pPr>
                    <w:pStyle w:val="style0"/>
                    <w:rPr/>
                  </w:pPr>
                  <w:r>
                    <w:rPr>
                      <w:sz w:val="19"/>
                      <w:szCs w:val="19"/>
                    </w:rPr>
                    <w:t>Few or none</w:t>
                  </w:r>
                </w:p>
              </w:tc>
              <w:tc>
                <w:tcPr>
                  <w:tcW w:w="1200" w:type="dxa"/>
                  <w:tcBorders/>
                  <w:shd w:val="clear" w:color="auto" w:fill="ffffff"/>
                  <w:tcMar>
                    <w:top w:w="60" w:type="dxa"/>
                    <w:left w:w="80" w:type="dxa"/>
                    <w:bottom w:w="60" w:type="dxa"/>
                    <w:right w:w="80" w:type="dxa"/>
                  </w:tcMar>
                </w:tcPr>
                <w:p w14:paraId="4A6C60FB">
                  <w:pPr>
                    <w:pStyle w:val="style0"/>
                    <w:rPr/>
                  </w:pPr>
                  <w:r>
                    <w:rPr>
                      <w:sz w:val="19"/>
                      <w:szCs w:val="19"/>
                    </w:rPr>
                    <w:t>Large</w:t>
                  </w:r>
                </w:p>
              </w:tc>
            </w:tr>
          </w:tbl>
          <w:p w14:paraId="FB96C732">
            <w:pPr>
              <w:pStyle w:val="style0"/>
              <w:rPr/>
            </w:pPr>
          </w:p>
        </w:tc>
      </w:tr>
      <w:tr w14:paraId="A09DD188">
        <w:tblPrEx/>
        <w:trPr/>
        <w:tc>
          <w:tcPr>
            <w:tcW w:w="2200" w:type="dxa"/>
            <w:tcBorders/>
            <w:shd w:val="clear" w:color="auto" w:fill="1f4e5f"/>
            <w:tcMar>
              <w:top w:w="100" w:type="dxa"/>
              <w:left w:w="120" w:type="dxa"/>
              <w:bottom w:w="100" w:type="dxa"/>
              <w:right w:w="120" w:type="dxa"/>
            </w:tcMar>
            <w:vAlign w:val="center"/>
          </w:tcPr>
          <w:p w14:paraId="2B741CA3">
            <w:pPr>
              <w:pStyle w:val="style0"/>
              <w:spacing w:after="60"/>
              <w:rPr/>
            </w:pPr>
            <w:r>
              <w:rPr>
                <w:b/>
                <w:bCs/>
                <w:color w:val="ffffff"/>
                <w:sz w:val="21"/>
                <w:szCs w:val="21"/>
              </w:rPr>
              <w:t>Conclusion</w:t>
            </w:r>
          </w:p>
        </w:tc>
        <w:tc>
          <w:tcPr>
            <w:tcW w:w="7300" w:type="dxa"/>
            <w:tcBorders/>
            <w:shd w:val="clear" w:color="auto" w:fill="ffffff"/>
            <w:tcMar>
              <w:top w:w="100" w:type="dxa"/>
              <w:left w:w="120" w:type="dxa"/>
              <w:bottom w:w="100" w:type="dxa"/>
              <w:right w:w="120" w:type="dxa"/>
            </w:tcMar>
            <w:vAlign w:val="center"/>
          </w:tcPr>
          <w:p w14:paraId="F345CB19">
            <w:pPr>
              <w:pStyle w:val="style0"/>
              <w:spacing w:after="60"/>
              <w:rPr/>
            </w:pPr>
            <w:r>
              <w:rPr>
                <w:sz w:val="21"/>
                <w:szCs w:val="21"/>
              </w:rPr>
              <w:t>Stomatal number, size and distribution differ according to habitat: hydrophytes show most stomata on the upper (exposed) surface for gaseous exchange in an aquatic environment; xerophytes have the fewest, smallest stomata (often on the lower surface) to conserve water; mesophytes are intermediate, with stomata fairly evenly distributed on both surfaces.</w:t>
            </w:r>
          </w:p>
        </w:tc>
      </w:tr>
    </w:tbl>
    <w:p w14:paraId="92139EFB">
      <w:pPr>
        <w:pStyle w:val="style0"/>
        <w:rPr/>
      </w:pPr>
      <w:r>
        <w:br w:type="page"/>
      </w:r>
    </w:p>
    <w:p w14:paraId="C20117ED">
      <w:pPr>
        <w:pStyle w:val="style4097"/>
        <w:spacing w:before="400" w:after="200"/>
        <w:rPr/>
      </w:pPr>
      <w:r>
        <w:rPr>
          <w:b/>
          <w:bCs/>
        </w:rPr>
        <w:t>C. Aerobic and Anaerobic Respiration in Living Organisms</w:t>
      </w:r>
    </w:p>
    <w:p w14:paraId="138FF7D1">
      <w:pPr>
        <w:pStyle w:val="style0"/>
        <w:spacing w:after="150"/>
        <w:rPr/>
      </w:pPr>
      <w:r>
        <w:t>Living organisms need a constant supply of energy from food substances (taken in by animals, or manufactured by photosynthesis in plants). This energy is released through respiration, which may be aerobic or anaerobic. Energy is released gradually in small amounts (not all at once) to avoid “burning” the cells.</w:t>
      </w:r>
    </w:p>
    <w:p w14:paraId="B4579370">
      <w:pPr>
        <w:pStyle w:val="style4098"/>
        <w:spacing w:before="300" w:after="150"/>
        <w:rPr/>
      </w:pPr>
      <w:r>
        <w:rPr>
          <w:b/>
          <w:bCs/>
        </w:rPr>
        <w:t>Aerobic Respiration</w:t>
      </w:r>
    </w:p>
    <w:p w14:paraId="01C05443">
      <w:pPr>
        <w:pStyle w:val="style0"/>
        <w:spacing w:after="150"/>
        <w:rPr/>
      </w:pPr>
      <w:r>
        <w:t>Aerobic respiration breaks down food substances such as glucose completely, in the presence of oxygen, to release energy, water and CO₂. It occurs in the mitochondria (and cytoplasm) of plant and animal cells and releases a large amount of energy.</w:t>
      </w:r>
    </w:p>
    <w:p w14:paraId="8C51A87A">
      <w:pPr>
        <w:pStyle w:val="style0"/>
        <w:spacing w:after="100"/>
        <w:jc w:val="center"/>
        <w:rPr/>
      </w:pPr>
      <w:r>
        <w:rPr>
          <w:b/>
          <w:bCs/>
        </w:rPr>
        <w:t>Glucose + Oxygen → Carbon (IV) Oxide + Water + Energy</w:t>
      </w:r>
    </w:p>
    <w:p w14:paraId="1D2263E4">
      <w:pPr>
        <w:pStyle w:val="style0"/>
        <w:spacing w:after="200"/>
        <w:jc w:val="center"/>
        <w:rPr/>
      </w:pPr>
      <w:r>
        <w:rPr>
          <w:b/>
          <w:bCs/>
          <w:i/>
          <w:iCs/>
        </w:rPr>
        <w:t>C₆H₁₂O₆ + 6O₂ → 6CO₂ + 6H₂O + Energy (ATP)</w:t>
      </w:r>
    </w:p>
    <w:p w14:paraId="D9B1CF1D">
      <w:pPr>
        <w:pStyle w:val="style4098"/>
        <w:spacing w:before="300" w:after="150"/>
        <w:rPr/>
      </w:pPr>
      <w:r>
        <w:rPr>
          <w:b/>
          <w:bCs/>
        </w:rPr>
        <w:t>Anaerobic Respiration</w:t>
      </w:r>
    </w:p>
    <w:p w14:paraId="C7579C7E">
      <w:pPr>
        <w:pStyle w:val="style0"/>
        <w:spacing w:after="150"/>
        <w:rPr/>
      </w:pPr>
      <w:r>
        <w:t>Anaerobic respiration breaks down glucose without using oxygen, in the cytoplasm. Breakdown is incomplete: in plants, an intermediate compound, ethanol, is produced instead of full breakdown to CO₂ and water, so much less energy is released than in aerobic respiration.</w:t>
      </w:r>
    </w:p>
    <w:p w14:paraId="317F97DD">
      <w:pPr>
        <w:pStyle w:val="style0"/>
        <w:spacing w:after="150"/>
        <w:rPr/>
      </w:pPr>
      <w:r>
        <w:t>Ethanol is poisonous and plant tissue can only respire anaerobically for a short time. This process happens naturally in grapes fermenting on the vine, and in organisms such as bacteria and yeast, which can survive without oxygen — yeast is exploited commercially for alcoholic fermentation. Anaerobic respiration is therefore also called fermentation; alcoholic fermentation is the breakdown of simple sugars by yeast into energy, CO₂ and ethanol.</w:t>
      </w:r>
    </w:p>
    <w:p w14:paraId="D7CE91FC">
      <w:pPr>
        <w:pStyle w:val="style0"/>
        <w:spacing w:after="150"/>
        <w:rPr/>
      </w:pPr>
    </w:p>
    <w:p w14:paraId="D1C4EB92">
      <w:pPr>
        <w:pStyle w:val="style4098"/>
        <w:spacing w:before="300" w:after="150"/>
        <w:rPr/>
      </w:pPr>
      <w:r>
        <w:rPr>
          <w:b/>
          <w:bCs/>
        </w:rPr>
        <w:t>Practical Activity 4: Investigating Aerobic Respiration in Germinating Seeds</w:t>
      </w:r>
    </w:p>
    <w:p w14:paraId="C804E57A">
      <w:pPr>
        <w:pStyle w:val="style0"/>
        <w:spacing w:before="150" w:after="60"/>
        <w:jc w:val="center"/>
        <w:rPr/>
      </w:pPr>
      <w:r>
        <w:rPr/>
        <w:drawing>
          <wp:inline distL="0" distT="0" distB="0" distR="0">
            <wp:extent cx="4572000" cy="2000250"/>
            <wp:effectExtent l="0" t="0" r="0" b="0"/>
            <wp:docPr id="1036" name="" descr=""/>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2" cstate="print"/>
                    <a:srcRect l="0" t="0" r="0" b="0"/>
                    <a:stretch/>
                  </pic:blipFill>
                  <pic:spPr>
                    <a:xfrm rot="0">
                      <a:off x="0" y="0"/>
                      <a:ext cx="4572000" cy="2000250"/>
                    </a:xfrm>
                    <a:prstGeom prst="rect"/>
                  </pic:spPr>
                </pic:pic>
              </a:graphicData>
            </a:graphic>
          </wp:inline>
        </w:drawing>
      </w:r>
    </w:p>
    <w:p w14:paraId="91E33BE5">
      <w:pPr>
        <w:pStyle w:val="style0"/>
        <w:spacing w:before="60" w:after="300"/>
        <w:jc w:val="center"/>
        <w:rPr/>
      </w:pPr>
      <w:r>
        <w:rPr>
          <w:i/>
          <w:iCs/>
          <w:color w:val="8b0000"/>
          <w:sz w:val="20"/>
          <w:szCs w:val="20"/>
        </w:rPr>
        <w:t>Figure 11: Set-up to investigate aerobic respiration in germinating seeds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2200"/>
        <w:gridCol w:w="7300"/>
      </w:tblGrid>
      <w:tr w14:paraId="A6AD3E22">
        <w:trPr/>
        <w:tc>
          <w:tcPr>
            <w:tcW w:w="2200" w:type="dxa"/>
            <w:tcBorders/>
            <w:shd w:val="clear" w:color="auto" w:fill="1f4e5f"/>
            <w:tcMar>
              <w:top w:w="100" w:type="dxa"/>
              <w:left w:w="120" w:type="dxa"/>
              <w:bottom w:w="100" w:type="dxa"/>
              <w:right w:w="120" w:type="dxa"/>
            </w:tcMar>
            <w:vAlign w:val="center"/>
          </w:tcPr>
          <w:p w14:paraId="62B887C9">
            <w:pPr>
              <w:pStyle w:val="style0"/>
              <w:spacing w:after="60"/>
              <w:rPr/>
            </w:pPr>
            <w:r>
              <w:rPr>
                <w:b/>
                <w:bCs/>
                <w:color w:val="ffffff"/>
                <w:sz w:val="21"/>
                <w:szCs w:val="21"/>
              </w:rPr>
              <w:t>Aim</w:t>
            </w:r>
          </w:p>
        </w:tc>
        <w:tc>
          <w:tcPr>
            <w:tcW w:w="7300" w:type="dxa"/>
            <w:tcBorders/>
            <w:shd w:val="clear" w:color="auto" w:fill="ffffff"/>
            <w:tcMar>
              <w:top w:w="100" w:type="dxa"/>
              <w:left w:w="120" w:type="dxa"/>
              <w:bottom w:w="100" w:type="dxa"/>
              <w:right w:w="120" w:type="dxa"/>
            </w:tcMar>
            <w:vAlign w:val="center"/>
          </w:tcPr>
          <w:p w14:paraId="03C89A45">
            <w:pPr>
              <w:pStyle w:val="style0"/>
              <w:spacing w:after="60"/>
              <w:rPr/>
            </w:pPr>
            <w:r>
              <w:rPr>
                <w:sz w:val="21"/>
                <w:szCs w:val="21"/>
              </w:rPr>
              <w:t>To show that germinating (respiring) seeds release heat energy through aerobic respiration.</w:t>
            </w:r>
          </w:p>
        </w:tc>
      </w:tr>
      <w:tr w14:paraId="36E05FA2">
        <w:tblPrEx/>
        <w:trPr/>
        <w:tc>
          <w:tcPr>
            <w:tcW w:w="2200" w:type="dxa"/>
            <w:tcBorders/>
            <w:shd w:val="clear" w:color="auto" w:fill="1f4e5f"/>
            <w:tcMar>
              <w:top w:w="100" w:type="dxa"/>
              <w:left w:w="120" w:type="dxa"/>
              <w:bottom w:w="100" w:type="dxa"/>
              <w:right w:w="120" w:type="dxa"/>
            </w:tcMar>
            <w:vAlign w:val="center"/>
          </w:tcPr>
          <w:p w14:paraId="528FCD55">
            <w:pPr>
              <w:pStyle w:val="style0"/>
              <w:spacing w:after="60"/>
              <w:rPr/>
            </w:pPr>
            <w:r>
              <w:rPr>
                <w:b/>
                <w:bCs/>
                <w:color w:val="ffffff"/>
                <w:sz w:val="21"/>
                <w:szCs w:val="21"/>
              </w:rPr>
              <w:t>Requirements</w:t>
            </w:r>
          </w:p>
        </w:tc>
        <w:tc>
          <w:tcPr>
            <w:tcW w:w="7300" w:type="dxa"/>
            <w:tcBorders/>
            <w:shd w:val="clear" w:color="auto" w:fill="eaf1f4"/>
            <w:tcMar>
              <w:top w:w="100" w:type="dxa"/>
              <w:left w:w="120" w:type="dxa"/>
              <w:bottom w:w="100" w:type="dxa"/>
              <w:right w:w="120" w:type="dxa"/>
            </w:tcMar>
            <w:vAlign w:val="center"/>
          </w:tcPr>
          <w:p w14:paraId="F1DC1E77">
            <w:pPr>
              <w:pStyle w:val="style0"/>
              <w:spacing w:after="60"/>
              <w:rPr/>
            </w:pPr>
            <w:r>
              <w:rPr>
                <w:sz w:val="21"/>
                <w:szCs w:val="21"/>
              </w:rPr>
              <w:t>Soaked bean seeds, boiled bean seeds (washed in 10% methanol), two vacuum flasks (A and B), two thermometers, cotton wool, retort stand.</w:t>
            </w:r>
          </w:p>
        </w:tc>
      </w:tr>
      <w:tr w14:paraId="F3643064">
        <w:tblPrEx/>
        <w:trPr/>
        <w:tc>
          <w:tcPr>
            <w:tcW w:w="2200" w:type="dxa"/>
            <w:tcBorders/>
            <w:shd w:val="clear" w:color="auto" w:fill="1f4e5f"/>
            <w:tcMar>
              <w:top w:w="100" w:type="dxa"/>
              <w:left w:w="120" w:type="dxa"/>
              <w:bottom w:w="100" w:type="dxa"/>
              <w:right w:w="120" w:type="dxa"/>
            </w:tcMar>
            <w:vAlign w:val="center"/>
          </w:tcPr>
          <w:p w14:paraId="71AC8CD1">
            <w:pPr>
              <w:pStyle w:val="style0"/>
              <w:spacing w:after="60"/>
              <w:rPr/>
            </w:pPr>
            <w:r>
              <w:rPr>
                <w:b/>
                <w:bCs/>
                <w:color w:val="ffffff"/>
                <w:sz w:val="21"/>
                <w:szCs w:val="21"/>
              </w:rPr>
              <w:t>Procedure (summary)</w:t>
            </w:r>
          </w:p>
        </w:tc>
        <w:tc>
          <w:tcPr>
            <w:tcW w:w="7300" w:type="dxa"/>
            <w:tcBorders/>
            <w:shd w:val="clear" w:color="auto" w:fill="ffffff"/>
            <w:tcMar>
              <w:top w:w="100" w:type="dxa"/>
              <w:left w:w="120" w:type="dxa"/>
              <w:bottom w:w="100" w:type="dxa"/>
              <w:right w:w="120" w:type="dxa"/>
            </w:tcMar>
            <w:vAlign w:val="center"/>
          </w:tcPr>
          <w:p w14:paraId="0D873C50">
            <w:pPr>
              <w:pStyle w:val="style0"/>
              <w:spacing w:after="60"/>
              <w:rPr/>
            </w:pPr>
            <w:r>
              <w:rPr>
                <w:sz w:val="21"/>
                <w:szCs w:val="21"/>
              </w:rPr>
              <w:t>Half-fill flask A with soaked (living) bean seeds and flask B with boiled bean seeds. Insert a thermometer into each flask, bulb surrounded by seeds, and hold it in place with cotton wool. Record the initial temperature, then record the temperature every morning for one week.</w:t>
            </w:r>
          </w:p>
        </w:tc>
      </w:tr>
      <w:tr w14:paraId="21BC6042">
        <w:tblPrEx/>
        <w:trPr/>
        <w:tc>
          <w:tcPr>
            <w:tcW w:w="2200" w:type="dxa"/>
            <w:tcBorders/>
            <w:shd w:val="clear" w:color="auto" w:fill="1f4e5f"/>
            <w:tcMar>
              <w:top w:w="100" w:type="dxa"/>
              <w:left w:w="120" w:type="dxa"/>
              <w:bottom w:w="100" w:type="dxa"/>
              <w:right w:w="120" w:type="dxa"/>
            </w:tcMar>
            <w:vAlign w:val="center"/>
          </w:tcPr>
          <w:p w14:paraId="3CFC8D1D">
            <w:pPr>
              <w:pStyle w:val="style0"/>
              <w:spacing w:after="60"/>
              <w:rPr/>
            </w:pPr>
            <w:r>
              <w:rPr>
                <w:b/>
                <w:bCs/>
                <w:color w:val="ffffff"/>
                <w:sz w:val="21"/>
                <w:szCs w:val="21"/>
              </w:rPr>
              <w:t>Observation</w:t>
            </w:r>
          </w:p>
        </w:tc>
        <w:tc>
          <w:tcPr>
            <w:tcW w:w="7300" w:type="dxa"/>
            <w:tcBorders/>
            <w:tcMar>
              <w:top w:w="100" w:type="dxa"/>
              <w:left w:w="120" w:type="dxa"/>
              <w:bottom w:w="100" w:type="dxa"/>
              <w:right w:w="120" w:type="dxa"/>
            </w:tcMar>
            <w:vAlign w:val="center"/>
          </w:tcPr>
          <w:p w14:paraId="73546A3F">
            <w:pPr>
              <w:pStyle w:val="style0"/>
              <w:rPr/>
            </w:pPr>
          </w:p>
          <w:tbl>
            <w:tblPr>
              <w:tblW w:w="7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2800"/>
              <w:gridCol w:w="4200"/>
            </w:tblGrid>
            <w:tr w14:paraId="26252D30">
              <w:trPr>
                <w:tblHeader/>
              </w:trPr>
              <w:tc>
                <w:tcPr>
                  <w:tcW w:w="2800" w:type="dxa"/>
                  <w:tcBorders/>
                  <w:shd w:val="clear" w:color="auto" w:fill="1f4e5f"/>
                  <w:tcMar>
                    <w:top w:w="60" w:type="dxa"/>
                    <w:left w:w="80" w:type="dxa"/>
                    <w:bottom w:w="60" w:type="dxa"/>
                    <w:right w:w="80" w:type="dxa"/>
                  </w:tcMar>
                </w:tcPr>
                <w:p w14:paraId="6DD3ECBE">
                  <w:pPr>
                    <w:pStyle w:val="style0"/>
                    <w:rPr/>
                  </w:pPr>
                  <w:r>
                    <w:rPr>
                      <w:b/>
                      <w:bCs/>
                      <w:color w:val="ffffff"/>
                      <w:sz w:val="19"/>
                      <w:szCs w:val="19"/>
                    </w:rPr>
                    <w:t>Flask</w:t>
                  </w:r>
                </w:p>
              </w:tc>
              <w:tc>
                <w:tcPr>
                  <w:tcW w:w="4200" w:type="dxa"/>
                  <w:tcBorders/>
                  <w:shd w:val="clear" w:color="auto" w:fill="1f4e5f"/>
                  <w:tcMar>
                    <w:top w:w="60" w:type="dxa"/>
                    <w:left w:w="80" w:type="dxa"/>
                    <w:bottom w:w="60" w:type="dxa"/>
                    <w:right w:w="80" w:type="dxa"/>
                  </w:tcMar>
                </w:tcPr>
                <w:p w14:paraId="2B985D34">
                  <w:pPr>
                    <w:pStyle w:val="style0"/>
                    <w:rPr/>
                  </w:pPr>
                  <w:r>
                    <w:rPr>
                      <w:b/>
                      <w:bCs/>
                      <w:color w:val="ffffff"/>
                      <w:sz w:val="19"/>
                      <w:szCs w:val="19"/>
                    </w:rPr>
                    <w:t>Result over one week</w:t>
                  </w:r>
                </w:p>
              </w:tc>
            </w:tr>
            <w:tr w14:paraId="6695CE98">
              <w:tblPrEx/>
              <w:trPr/>
              <w:tc>
                <w:tcPr>
                  <w:tcW w:w="2800" w:type="dxa"/>
                  <w:tcBorders/>
                  <w:shd w:val="clear" w:color="auto" w:fill="ffffff"/>
                  <w:tcMar>
                    <w:top w:w="60" w:type="dxa"/>
                    <w:left w:w="80" w:type="dxa"/>
                    <w:bottom w:w="60" w:type="dxa"/>
                    <w:right w:w="80" w:type="dxa"/>
                  </w:tcMar>
                </w:tcPr>
                <w:p w14:paraId="3E2419C2">
                  <w:pPr>
                    <w:pStyle w:val="style0"/>
                    <w:rPr/>
                  </w:pPr>
                  <w:r>
                    <w:rPr>
                      <w:sz w:val="19"/>
                      <w:szCs w:val="19"/>
                    </w:rPr>
                    <w:t>A — soaked (living) seeds</w:t>
                  </w:r>
                </w:p>
              </w:tc>
              <w:tc>
                <w:tcPr>
                  <w:tcW w:w="4200" w:type="dxa"/>
                  <w:tcBorders/>
                  <w:shd w:val="clear" w:color="auto" w:fill="ffffff"/>
                  <w:tcMar>
                    <w:top w:w="60" w:type="dxa"/>
                    <w:left w:w="80" w:type="dxa"/>
                    <w:bottom w:w="60" w:type="dxa"/>
                    <w:right w:w="80" w:type="dxa"/>
                  </w:tcMar>
                </w:tcPr>
                <w:p w14:paraId="4FC55438">
                  <w:pPr>
                    <w:pStyle w:val="style0"/>
                    <w:rPr/>
                  </w:pPr>
                  <w:r>
                    <w:rPr>
                      <w:sz w:val="19"/>
                      <w:szCs w:val="19"/>
                    </w:rPr>
                    <w:t>Temperature rises steadily</w:t>
                  </w:r>
                </w:p>
              </w:tc>
            </w:tr>
            <w:tr w14:paraId="243DF19C">
              <w:tblPrEx/>
              <w:trPr/>
              <w:tc>
                <w:tcPr>
                  <w:tcW w:w="2800" w:type="dxa"/>
                  <w:tcBorders/>
                  <w:shd w:val="clear" w:color="auto" w:fill="eaf1f4"/>
                  <w:tcMar>
                    <w:top w:w="60" w:type="dxa"/>
                    <w:left w:w="80" w:type="dxa"/>
                    <w:bottom w:w="60" w:type="dxa"/>
                    <w:right w:w="80" w:type="dxa"/>
                  </w:tcMar>
                </w:tcPr>
                <w:p w14:paraId="72E0AD72">
                  <w:pPr>
                    <w:pStyle w:val="style0"/>
                    <w:rPr/>
                  </w:pPr>
                  <w:r>
                    <w:rPr>
                      <w:sz w:val="19"/>
                      <w:szCs w:val="19"/>
                    </w:rPr>
                    <w:t>B — boiled seeds</w:t>
                  </w:r>
                </w:p>
              </w:tc>
              <w:tc>
                <w:tcPr>
                  <w:tcW w:w="4200" w:type="dxa"/>
                  <w:tcBorders/>
                  <w:shd w:val="clear" w:color="auto" w:fill="eaf1f4"/>
                  <w:tcMar>
                    <w:top w:w="60" w:type="dxa"/>
                    <w:left w:w="80" w:type="dxa"/>
                    <w:bottom w:w="60" w:type="dxa"/>
                    <w:right w:w="80" w:type="dxa"/>
                  </w:tcMar>
                </w:tcPr>
                <w:p w14:paraId="660B1416">
                  <w:pPr>
                    <w:pStyle w:val="style0"/>
                    <w:rPr/>
                  </w:pPr>
                  <w:r>
                    <w:rPr>
                      <w:sz w:val="19"/>
                      <w:szCs w:val="19"/>
                    </w:rPr>
                    <w:t>Temperature stays about the same (no significant rise)</w:t>
                  </w:r>
                </w:p>
              </w:tc>
            </w:tr>
          </w:tbl>
          <w:p w14:paraId="201C9651">
            <w:pPr>
              <w:pStyle w:val="style0"/>
              <w:rPr/>
            </w:pPr>
          </w:p>
        </w:tc>
      </w:tr>
      <w:tr w14:paraId="1A566BAE">
        <w:tblPrEx/>
        <w:trPr/>
        <w:tc>
          <w:tcPr>
            <w:tcW w:w="2200" w:type="dxa"/>
            <w:tcBorders/>
            <w:shd w:val="clear" w:color="auto" w:fill="1f4e5f"/>
            <w:tcMar>
              <w:top w:w="100" w:type="dxa"/>
              <w:left w:w="120" w:type="dxa"/>
              <w:bottom w:w="100" w:type="dxa"/>
              <w:right w:w="120" w:type="dxa"/>
            </w:tcMar>
            <w:vAlign w:val="center"/>
          </w:tcPr>
          <w:p w14:paraId="095A52DC">
            <w:pPr>
              <w:pStyle w:val="style0"/>
              <w:spacing w:after="60"/>
              <w:rPr/>
            </w:pPr>
            <w:r>
              <w:rPr>
                <w:b/>
                <w:bCs/>
                <w:color w:val="ffffff"/>
                <w:sz w:val="21"/>
                <w:szCs w:val="21"/>
              </w:rPr>
              <w:t>Conclusion</w:t>
            </w:r>
          </w:p>
        </w:tc>
        <w:tc>
          <w:tcPr>
            <w:tcW w:w="7300" w:type="dxa"/>
            <w:tcBorders/>
            <w:shd w:val="clear" w:color="auto" w:fill="ffffff"/>
            <w:tcMar>
              <w:top w:w="100" w:type="dxa"/>
              <w:left w:w="120" w:type="dxa"/>
              <w:bottom w:w="100" w:type="dxa"/>
              <w:right w:w="120" w:type="dxa"/>
            </w:tcMar>
            <w:vAlign w:val="center"/>
          </w:tcPr>
          <w:p w14:paraId="544B700D">
            <w:pPr>
              <w:pStyle w:val="style0"/>
              <w:spacing w:after="60"/>
              <w:rPr/>
            </w:pPr>
            <w:r>
              <w:rPr>
                <w:sz w:val="21"/>
                <w:szCs w:val="21"/>
              </w:rPr>
              <w:t>The living seeds in flask A respired aerobically, releasing heat energy that raised the flask's temperature. The boiled seeds in flask B had their enzymes denatured by heat, so no respiration (and no heat release) occurred. Methanol was used to kill micro-organisms on the boiled seeds so that microbial respiration would not affect the result. The vacuum flask minimises heat loss, and cotton wool allows diffusion of O₂ in and CO₂ out while sealing the flask.</w:t>
            </w:r>
          </w:p>
        </w:tc>
      </w:tr>
    </w:tbl>
    <w:p w14:paraId="56D49DFA">
      <w:pPr>
        <w:pStyle w:val="style0"/>
        <w:spacing w:after="200"/>
        <w:rPr/>
      </w:pPr>
    </w:p>
    <w:p w14:paraId="BB026894">
      <w:pPr>
        <w:pStyle w:val="style4098"/>
        <w:spacing w:before="300" w:after="150"/>
        <w:rPr/>
      </w:pPr>
      <w:r>
        <w:rPr>
          <w:b/>
          <w:bCs/>
        </w:rPr>
        <w:t>Practical Activity 5: Investigating Anaerobic Respiration in Yeast</w:t>
      </w:r>
    </w:p>
    <w:p w14:paraId="A5880AED">
      <w:pPr>
        <w:pStyle w:val="style0"/>
        <w:spacing w:before="150" w:after="60"/>
        <w:jc w:val="center"/>
        <w:rPr/>
      </w:pPr>
      <w:r>
        <w:rPr/>
        <w:drawing>
          <wp:inline distL="0" distT="0" distB="0" distR="0">
            <wp:extent cx="4572000" cy="2705100"/>
            <wp:effectExtent l="0" t="0" r="0" b="0"/>
            <wp:docPr id="1037" name="" descr=""/>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3" cstate="print"/>
                    <a:srcRect l="0" t="0" r="0" b="0"/>
                    <a:stretch/>
                  </pic:blipFill>
                  <pic:spPr>
                    <a:xfrm rot="0">
                      <a:off x="0" y="0"/>
                      <a:ext cx="4572000" cy="2705100"/>
                    </a:xfrm>
                    <a:prstGeom prst="rect"/>
                  </pic:spPr>
                </pic:pic>
              </a:graphicData>
            </a:graphic>
          </wp:inline>
        </w:drawing>
      </w:r>
    </w:p>
    <w:p w14:paraId="97836593">
      <w:pPr>
        <w:pStyle w:val="style0"/>
        <w:spacing w:before="60" w:after="300"/>
        <w:jc w:val="center"/>
        <w:rPr/>
      </w:pPr>
      <w:r>
        <w:rPr>
          <w:i/>
          <w:iCs/>
          <w:color w:val="8b0000"/>
          <w:sz w:val="20"/>
          <w:szCs w:val="20"/>
        </w:rPr>
        <w:t>Figure 12: Set-up to investigate anaerobic respiration in yeast</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2200"/>
        <w:gridCol w:w="7300"/>
      </w:tblGrid>
      <w:tr w14:paraId="75508763">
        <w:trPr/>
        <w:tc>
          <w:tcPr>
            <w:tcW w:w="2200" w:type="dxa"/>
            <w:tcBorders/>
            <w:shd w:val="clear" w:color="auto" w:fill="1f4e5f"/>
            <w:tcMar>
              <w:top w:w="100" w:type="dxa"/>
              <w:left w:w="120" w:type="dxa"/>
              <w:bottom w:w="100" w:type="dxa"/>
              <w:right w:w="120" w:type="dxa"/>
            </w:tcMar>
            <w:vAlign w:val="center"/>
          </w:tcPr>
          <w:p w14:paraId="1FE889CA">
            <w:pPr>
              <w:pStyle w:val="style0"/>
              <w:spacing w:after="60"/>
              <w:rPr/>
            </w:pPr>
            <w:r>
              <w:rPr>
                <w:b/>
                <w:bCs/>
                <w:color w:val="ffffff"/>
                <w:sz w:val="21"/>
                <w:szCs w:val="21"/>
              </w:rPr>
              <w:t>Aim</w:t>
            </w:r>
          </w:p>
        </w:tc>
        <w:tc>
          <w:tcPr>
            <w:tcW w:w="7300" w:type="dxa"/>
            <w:tcBorders/>
            <w:shd w:val="clear" w:color="auto" w:fill="ffffff"/>
            <w:tcMar>
              <w:top w:w="100" w:type="dxa"/>
              <w:left w:w="120" w:type="dxa"/>
              <w:bottom w:w="100" w:type="dxa"/>
              <w:right w:w="120" w:type="dxa"/>
            </w:tcMar>
            <w:vAlign w:val="center"/>
          </w:tcPr>
          <w:p w14:paraId="75EEBB87">
            <w:pPr>
              <w:pStyle w:val="style0"/>
              <w:spacing w:after="60"/>
              <w:rPr/>
            </w:pPr>
            <w:r>
              <w:rPr>
                <w:sz w:val="21"/>
                <w:szCs w:val="21"/>
              </w:rPr>
              <w:t>To show that yeast can respire anaerobically, releasing energy, CO₂ and ethanol without oxygen.</w:t>
            </w:r>
          </w:p>
        </w:tc>
      </w:tr>
      <w:tr w14:paraId="8B43844A">
        <w:tblPrEx/>
        <w:trPr/>
        <w:tc>
          <w:tcPr>
            <w:tcW w:w="2200" w:type="dxa"/>
            <w:tcBorders/>
            <w:shd w:val="clear" w:color="auto" w:fill="1f4e5f"/>
            <w:tcMar>
              <w:top w:w="100" w:type="dxa"/>
              <w:left w:w="120" w:type="dxa"/>
              <w:bottom w:w="100" w:type="dxa"/>
              <w:right w:w="120" w:type="dxa"/>
            </w:tcMar>
            <w:vAlign w:val="center"/>
          </w:tcPr>
          <w:p w14:paraId="E85E2B97">
            <w:pPr>
              <w:pStyle w:val="style0"/>
              <w:spacing w:after="60"/>
              <w:rPr/>
            </w:pPr>
            <w:r>
              <w:rPr>
                <w:b/>
                <w:bCs/>
                <w:color w:val="ffffff"/>
                <w:sz w:val="21"/>
                <w:szCs w:val="21"/>
              </w:rPr>
              <w:t>Requirements</w:t>
            </w:r>
          </w:p>
        </w:tc>
        <w:tc>
          <w:tcPr>
            <w:tcW w:w="7300" w:type="dxa"/>
            <w:tcBorders/>
            <w:shd w:val="clear" w:color="auto" w:fill="eaf1f4"/>
            <w:tcMar>
              <w:top w:w="100" w:type="dxa"/>
              <w:left w:w="120" w:type="dxa"/>
              <w:bottom w:w="100" w:type="dxa"/>
              <w:right w:w="120" w:type="dxa"/>
            </w:tcMar>
            <w:vAlign w:val="center"/>
          </w:tcPr>
          <w:p w14:paraId="3CDABCE1">
            <w:pPr>
              <w:pStyle w:val="style0"/>
              <w:spacing w:after="60"/>
              <w:rPr/>
            </w:pPr>
            <w:r>
              <w:rPr>
                <w:sz w:val="21"/>
                <w:szCs w:val="21"/>
              </w:rPr>
              <w:t>Glucose solution, yeast, calcium hydroxide solution, thermometer, oil/kerosene, delivery tube, rubber stopper, retort stand, source of heat, stop-watch.</w:t>
            </w:r>
          </w:p>
        </w:tc>
      </w:tr>
      <w:tr w14:paraId="977D3EE3">
        <w:tblPrEx/>
        <w:trPr/>
        <w:tc>
          <w:tcPr>
            <w:tcW w:w="2200" w:type="dxa"/>
            <w:tcBorders/>
            <w:shd w:val="clear" w:color="auto" w:fill="1f4e5f"/>
            <w:tcMar>
              <w:top w:w="100" w:type="dxa"/>
              <w:left w:w="120" w:type="dxa"/>
              <w:bottom w:w="100" w:type="dxa"/>
              <w:right w:w="120" w:type="dxa"/>
            </w:tcMar>
            <w:vAlign w:val="center"/>
          </w:tcPr>
          <w:p w14:paraId="AD335F9E">
            <w:pPr>
              <w:pStyle w:val="style0"/>
              <w:spacing w:after="60"/>
              <w:rPr/>
            </w:pPr>
            <w:r>
              <w:rPr>
                <w:b/>
                <w:bCs/>
                <w:color w:val="ffffff"/>
                <w:sz w:val="21"/>
                <w:szCs w:val="21"/>
              </w:rPr>
              <w:t>Procedure (summary)</w:t>
            </w:r>
          </w:p>
        </w:tc>
        <w:tc>
          <w:tcPr>
            <w:tcW w:w="7300" w:type="dxa"/>
            <w:tcBorders/>
            <w:shd w:val="clear" w:color="auto" w:fill="ffffff"/>
            <w:tcMar>
              <w:top w:w="100" w:type="dxa"/>
              <w:left w:w="120" w:type="dxa"/>
              <w:bottom w:w="100" w:type="dxa"/>
              <w:right w:w="120" w:type="dxa"/>
            </w:tcMar>
            <w:vAlign w:val="center"/>
          </w:tcPr>
          <w:p w14:paraId="804FF1AE">
            <w:pPr>
              <w:pStyle w:val="style0"/>
              <w:spacing w:after="60"/>
              <w:rPr/>
            </w:pPr>
            <w:r>
              <w:rPr>
                <w:sz w:val="21"/>
                <w:szCs w:val="21"/>
              </w:rPr>
              <w:t>Boil 20 ml of glucose solution (to expel dissolved oxygen), cool to 40°C and add yeast. Add a layer of oil/kerosene on top of the suspension to keep out air. Connect the boiling tube (glucose + yeast) via a delivery tube to a test tube containing calcium hydroxide solution. Insert a thermometer into the suspension and record the initial temperature. Leave the set-up for 30 minutes, then record the final temperature and observe the calcium hydroxide solution.</w:t>
            </w:r>
          </w:p>
        </w:tc>
      </w:tr>
      <w:tr w14:paraId="63B05242">
        <w:tblPrEx/>
        <w:trPr/>
        <w:tc>
          <w:tcPr>
            <w:tcW w:w="2200" w:type="dxa"/>
            <w:tcBorders/>
            <w:shd w:val="clear" w:color="auto" w:fill="1f4e5f"/>
            <w:tcMar>
              <w:top w:w="100" w:type="dxa"/>
              <w:left w:w="120" w:type="dxa"/>
              <w:bottom w:w="100" w:type="dxa"/>
              <w:right w:w="120" w:type="dxa"/>
            </w:tcMar>
            <w:vAlign w:val="center"/>
          </w:tcPr>
          <w:p w14:paraId="475B329E">
            <w:pPr>
              <w:pStyle w:val="style0"/>
              <w:spacing w:after="60"/>
              <w:rPr/>
            </w:pPr>
            <w:r>
              <w:rPr>
                <w:b/>
                <w:bCs/>
                <w:color w:val="ffffff"/>
                <w:sz w:val="21"/>
                <w:szCs w:val="21"/>
              </w:rPr>
              <w:t>Observation</w:t>
            </w:r>
          </w:p>
        </w:tc>
        <w:tc>
          <w:tcPr>
            <w:tcW w:w="7300" w:type="dxa"/>
            <w:tcBorders/>
            <w:tcMar>
              <w:top w:w="100" w:type="dxa"/>
              <w:left w:w="120" w:type="dxa"/>
              <w:bottom w:w="100" w:type="dxa"/>
              <w:right w:w="120" w:type="dxa"/>
            </w:tcMar>
            <w:vAlign w:val="center"/>
          </w:tcPr>
          <w:p w14:paraId="11AEADD6">
            <w:pPr>
              <w:pStyle w:val="style0"/>
              <w:rPr/>
            </w:pPr>
          </w:p>
          <w:tbl>
            <w:tblPr>
              <w:tblW w:w="7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3100"/>
              <w:gridCol w:w="3900"/>
            </w:tblGrid>
            <w:tr w14:paraId="68E0C6FC">
              <w:trPr>
                <w:tblHeader/>
              </w:trPr>
              <w:tc>
                <w:tcPr>
                  <w:tcW w:w="3100" w:type="dxa"/>
                  <w:tcBorders/>
                  <w:shd w:val="clear" w:color="auto" w:fill="1f4e5f"/>
                  <w:tcMar>
                    <w:top w:w="60" w:type="dxa"/>
                    <w:left w:w="80" w:type="dxa"/>
                    <w:bottom w:w="60" w:type="dxa"/>
                    <w:right w:w="80" w:type="dxa"/>
                  </w:tcMar>
                </w:tcPr>
                <w:p w14:paraId="3E6584A4">
                  <w:pPr>
                    <w:pStyle w:val="style0"/>
                    <w:rPr/>
                  </w:pPr>
                  <w:r>
                    <w:rPr>
                      <w:b/>
                      <w:bCs/>
                      <w:color w:val="ffffff"/>
                      <w:sz w:val="19"/>
                      <w:szCs w:val="19"/>
                    </w:rPr>
                    <w:t>What was observed</w:t>
                  </w:r>
                </w:p>
              </w:tc>
              <w:tc>
                <w:tcPr>
                  <w:tcW w:w="3900" w:type="dxa"/>
                  <w:tcBorders/>
                  <w:shd w:val="clear" w:color="auto" w:fill="1f4e5f"/>
                  <w:tcMar>
                    <w:top w:w="60" w:type="dxa"/>
                    <w:left w:w="80" w:type="dxa"/>
                    <w:bottom w:w="60" w:type="dxa"/>
                    <w:right w:w="80" w:type="dxa"/>
                  </w:tcMar>
                </w:tcPr>
                <w:p w14:paraId="0B075B5D">
                  <w:pPr>
                    <w:pStyle w:val="style0"/>
                    <w:rPr/>
                  </w:pPr>
                  <w:r>
                    <w:rPr>
                      <w:b/>
                      <w:bCs/>
                      <w:color w:val="ffffff"/>
                      <w:sz w:val="19"/>
                      <w:szCs w:val="19"/>
                    </w:rPr>
                    <w:t>Result</w:t>
                  </w:r>
                </w:p>
              </w:tc>
            </w:tr>
            <w:tr w14:paraId="DF28D894">
              <w:tblPrEx/>
              <w:trPr/>
              <w:tc>
                <w:tcPr>
                  <w:tcW w:w="3100" w:type="dxa"/>
                  <w:tcBorders/>
                  <w:shd w:val="clear" w:color="auto" w:fill="ffffff"/>
                  <w:tcMar>
                    <w:top w:w="60" w:type="dxa"/>
                    <w:left w:w="80" w:type="dxa"/>
                    <w:bottom w:w="60" w:type="dxa"/>
                    <w:right w:w="80" w:type="dxa"/>
                  </w:tcMar>
                </w:tcPr>
                <w:p w14:paraId="6134153D">
                  <w:pPr>
                    <w:pStyle w:val="style0"/>
                    <w:rPr/>
                  </w:pPr>
                  <w:r>
                    <w:rPr>
                      <w:sz w:val="19"/>
                      <w:szCs w:val="19"/>
                    </w:rPr>
                    <w:t>Thermometer reading</w:t>
                  </w:r>
                </w:p>
              </w:tc>
              <w:tc>
                <w:tcPr>
                  <w:tcW w:w="3900" w:type="dxa"/>
                  <w:tcBorders/>
                  <w:shd w:val="clear" w:color="auto" w:fill="ffffff"/>
                  <w:tcMar>
                    <w:top w:w="60" w:type="dxa"/>
                    <w:left w:w="80" w:type="dxa"/>
                    <w:bottom w:w="60" w:type="dxa"/>
                    <w:right w:w="80" w:type="dxa"/>
                  </w:tcMar>
                </w:tcPr>
                <w:p w14:paraId="9655AE2C">
                  <w:pPr>
                    <w:pStyle w:val="style0"/>
                    <w:rPr/>
                  </w:pPr>
                  <w:r>
                    <w:rPr>
                      <w:sz w:val="19"/>
                      <w:szCs w:val="19"/>
                    </w:rPr>
                    <w:t>Rises over the 30 minutes</w:t>
                  </w:r>
                </w:p>
              </w:tc>
            </w:tr>
            <w:tr w14:paraId="C3EA234F">
              <w:tblPrEx/>
              <w:trPr/>
              <w:tc>
                <w:tcPr>
                  <w:tcW w:w="3100" w:type="dxa"/>
                  <w:tcBorders/>
                  <w:shd w:val="clear" w:color="auto" w:fill="eaf1f4"/>
                  <w:tcMar>
                    <w:top w:w="60" w:type="dxa"/>
                    <w:left w:w="80" w:type="dxa"/>
                    <w:bottom w:w="60" w:type="dxa"/>
                    <w:right w:w="80" w:type="dxa"/>
                  </w:tcMar>
                </w:tcPr>
                <w:p w14:paraId="32329162">
                  <w:pPr>
                    <w:pStyle w:val="style0"/>
                    <w:rPr/>
                  </w:pPr>
                  <w:r>
                    <w:rPr>
                      <w:sz w:val="19"/>
                      <w:szCs w:val="19"/>
                    </w:rPr>
                    <w:t>Calcium hydroxide solution</w:t>
                  </w:r>
                </w:p>
              </w:tc>
              <w:tc>
                <w:tcPr>
                  <w:tcW w:w="3900" w:type="dxa"/>
                  <w:tcBorders/>
                  <w:shd w:val="clear" w:color="auto" w:fill="eaf1f4"/>
                  <w:tcMar>
                    <w:top w:w="60" w:type="dxa"/>
                    <w:left w:w="80" w:type="dxa"/>
                    <w:bottom w:w="60" w:type="dxa"/>
                    <w:right w:w="80" w:type="dxa"/>
                  </w:tcMar>
                </w:tcPr>
                <w:p w14:paraId="20DA0207">
                  <w:pPr>
                    <w:pStyle w:val="style0"/>
                    <w:rPr/>
                  </w:pPr>
                  <w:r>
                    <w:rPr>
                      <w:sz w:val="19"/>
                      <w:szCs w:val="19"/>
                    </w:rPr>
                    <w:t>Turns milky/cloudy — white precipitate forms</w:t>
                  </w:r>
                </w:p>
              </w:tc>
            </w:tr>
          </w:tbl>
          <w:p w14:paraId="B03A0B02">
            <w:pPr>
              <w:pStyle w:val="style0"/>
              <w:rPr/>
            </w:pPr>
          </w:p>
        </w:tc>
      </w:tr>
      <w:tr w14:paraId="3EE9F1CA">
        <w:tblPrEx/>
        <w:trPr/>
        <w:tc>
          <w:tcPr>
            <w:tcW w:w="2200" w:type="dxa"/>
            <w:tcBorders/>
            <w:shd w:val="clear" w:color="auto" w:fill="1f4e5f"/>
            <w:tcMar>
              <w:top w:w="100" w:type="dxa"/>
              <w:left w:w="120" w:type="dxa"/>
              <w:bottom w:w="100" w:type="dxa"/>
              <w:right w:w="120" w:type="dxa"/>
            </w:tcMar>
            <w:vAlign w:val="center"/>
          </w:tcPr>
          <w:p w14:paraId="777C3A32">
            <w:pPr>
              <w:pStyle w:val="style0"/>
              <w:spacing w:after="60"/>
              <w:rPr/>
            </w:pPr>
            <w:r>
              <w:rPr>
                <w:b/>
                <w:bCs/>
                <w:color w:val="ffffff"/>
                <w:sz w:val="21"/>
                <w:szCs w:val="21"/>
              </w:rPr>
              <w:t>Conclusion</w:t>
            </w:r>
          </w:p>
        </w:tc>
        <w:tc>
          <w:tcPr>
            <w:tcW w:w="7300" w:type="dxa"/>
            <w:tcBorders/>
            <w:shd w:val="clear" w:color="auto" w:fill="ffffff"/>
            <w:tcMar>
              <w:top w:w="100" w:type="dxa"/>
              <w:left w:w="120" w:type="dxa"/>
              <w:bottom w:w="100" w:type="dxa"/>
              <w:right w:w="120" w:type="dxa"/>
            </w:tcMar>
            <w:vAlign w:val="center"/>
          </w:tcPr>
          <w:p w14:paraId="4C86C650">
            <w:pPr>
              <w:pStyle w:val="style0"/>
              <w:spacing w:after="60"/>
              <w:rPr/>
            </w:pPr>
            <w:r>
              <w:rPr>
                <w:sz w:val="21"/>
                <w:szCs w:val="21"/>
              </w:rPr>
              <w:t>The oil layer excluded oxygen, so the yeast respired anaerobically, breaking down glucose into ethanol, CO₂ and energy. The heat released raised the thermometer reading. The CO₂ produced passed through the delivery tube and reacted with the calcium hydroxide to form insoluble calcium carbonate, seen as a white precipitate — confirming CO₂ was produced. Boiling the glucose solution beforehand ensured only anaerobic respiration occurred.</w:t>
            </w:r>
          </w:p>
        </w:tc>
      </w:tr>
    </w:tbl>
    <w:p w14:paraId="C924CEA1">
      <w:pPr>
        <w:pStyle w:val="style0"/>
        <w:spacing w:after="200"/>
        <w:rPr/>
      </w:pPr>
    </w:p>
    <w:p w14:paraId="1693983C">
      <w:pPr>
        <w:pStyle w:val="style4098"/>
        <w:spacing w:before="300" w:after="150"/>
        <w:rPr/>
      </w:pPr>
      <w:r>
        <w:rPr>
          <w:b/>
          <w:bCs/>
        </w:rPr>
        <w:t>Table 1: Differences between Aerobic and Anaerobic Respiration</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4750"/>
        <w:gridCol w:w="4750"/>
      </w:tblGrid>
      <w:tr w14:paraId="556A565F">
        <w:trPr>
          <w:tblHeader/>
        </w:trPr>
        <w:tc>
          <w:tcPr>
            <w:tcW w:w="4750" w:type="dxa"/>
            <w:tcBorders/>
            <w:shd w:val="clear" w:color="auto" w:fill="1f4e5f"/>
            <w:tcMar>
              <w:top w:w="100" w:type="dxa"/>
              <w:left w:w="120" w:type="dxa"/>
              <w:bottom w:w="100" w:type="dxa"/>
              <w:right w:w="120" w:type="dxa"/>
            </w:tcMar>
            <w:vAlign w:val="center"/>
          </w:tcPr>
          <w:p w14:paraId="4F5C1DDA">
            <w:pPr>
              <w:pStyle w:val="style0"/>
              <w:spacing w:after="60"/>
              <w:rPr/>
            </w:pPr>
            <w:r>
              <w:rPr>
                <w:b/>
                <w:bCs/>
                <w:color w:val="ffffff"/>
                <w:sz w:val="21"/>
                <w:szCs w:val="21"/>
              </w:rPr>
              <w:t>Aerobic Respiration</w:t>
            </w:r>
          </w:p>
        </w:tc>
        <w:tc>
          <w:tcPr>
            <w:tcW w:w="4750" w:type="dxa"/>
            <w:tcBorders/>
            <w:shd w:val="clear" w:color="auto" w:fill="1f4e5f"/>
            <w:tcMar>
              <w:top w:w="100" w:type="dxa"/>
              <w:left w:w="120" w:type="dxa"/>
              <w:bottom w:w="100" w:type="dxa"/>
              <w:right w:w="120" w:type="dxa"/>
            </w:tcMar>
            <w:vAlign w:val="center"/>
          </w:tcPr>
          <w:p w14:paraId="AB3C95DD">
            <w:pPr>
              <w:pStyle w:val="style0"/>
              <w:spacing w:after="60"/>
              <w:rPr/>
            </w:pPr>
            <w:r>
              <w:rPr>
                <w:b/>
                <w:bCs/>
                <w:color w:val="ffffff"/>
                <w:sz w:val="21"/>
                <w:szCs w:val="21"/>
              </w:rPr>
              <w:t>Anaerobic Respiration</w:t>
            </w:r>
          </w:p>
        </w:tc>
      </w:tr>
      <w:tr w14:paraId="5E2CBE8F">
        <w:tblPrEx/>
        <w:trPr/>
        <w:tc>
          <w:tcPr>
            <w:tcW w:w="4750" w:type="dxa"/>
            <w:tcBorders/>
            <w:shd w:val="clear" w:color="auto" w:fill="ffffff"/>
            <w:tcMar>
              <w:top w:w="100" w:type="dxa"/>
              <w:left w:w="120" w:type="dxa"/>
              <w:bottom w:w="100" w:type="dxa"/>
              <w:right w:w="120" w:type="dxa"/>
            </w:tcMar>
            <w:vAlign w:val="center"/>
          </w:tcPr>
          <w:p w14:paraId="BEDC3D1A">
            <w:pPr>
              <w:pStyle w:val="style0"/>
              <w:spacing w:after="60"/>
              <w:rPr/>
            </w:pPr>
            <w:r>
              <w:rPr>
                <w:sz w:val="21"/>
                <w:szCs w:val="21"/>
              </w:rPr>
              <w:t>Oxygen is necessary for the process to take place.</w:t>
            </w:r>
          </w:p>
        </w:tc>
        <w:tc>
          <w:tcPr>
            <w:tcW w:w="4750" w:type="dxa"/>
            <w:tcBorders/>
            <w:shd w:val="clear" w:color="auto" w:fill="ffffff"/>
            <w:tcMar>
              <w:top w:w="100" w:type="dxa"/>
              <w:left w:w="120" w:type="dxa"/>
              <w:bottom w:w="100" w:type="dxa"/>
              <w:right w:w="120" w:type="dxa"/>
            </w:tcMar>
            <w:vAlign w:val="center"/>
          </w:tcPr>
          <w:p w14:paraId="DF2A1727">
            <w:pPr>
              <w:pStyle w:val="style0"/>
              <w:spacing w:after="60"/>
              <w:rPr/>
            </w:pPr>
            <w:r>
              <w:rPr>
                <w:sz w:val="21"/>
                <w:szCs w:val="21"/>
              </w:rPr>
              <w:t>Oxygen is not required.</w:t>
            </w:r>
          </w:p>
        </w:tc>
      </w:tr>
      <w:tr w14:paraId="354E3324">
        <w:tblPrEx/>
        <w:trPr/>
        <w:tc>
          <w:tcPr>
            <w:tcW w:w="4750" w:type="dxa"/>
            <w:tcBorders/>
            <w:shd w:val="clear" w:color="auto" w:fill="eaf1f4"/>
            <w:tcMar>
              <w:top w:w="100" w:type="dxa"/>
              <w:left w:w="120" w:type="dxa"/>
              <w:bottom w:w="100" w:type="dxa"/>
              <w:right w:w="120" w:type="dxa"/>
            </w:tcMar>
            <w:vAlign w:val="center"/>
          </w:tcPr>
          <w:p w14:paraId="C3644C77">
            <w:pPr>
              <w:pStyle w:val="style0"/>
              <w:spacing w:after="60"/>
              <w:rPr/>
            </w:pPr>
            <w:r>
              <w:rPr>
                <w:sz w:val="21"/>
                <w:szCs w:val="21"/>
              </w:rPr>
              <w:t>A high amount of energy is released, so it is an efficient way of obtaining energy.</w:t>
            </w:r>
          </w:p>
        </w:tc>
        <w:tc>
          <w:tcPr>
            <w:tcW w:w="4750" w:type="dxa"/>
            <w:tcBorders/>
            <w:shd w:val="clear" w:color="auto" w:fill="eaf1f4"/>
            <w:tcMar>
              <w:top w:w="100" w:type="dxa"/>
              <w:left w:w="120" w:type="dxa"/>
              <w:bottom w:w="100" w:type="dxa"/>
              <w:right w:w="120" w:type="dxa"/>
            </w:tcMar>
            <w:vAlign w:val="center"/>
          </w:tcPr>
          <w:p w14:paraId="A8C33F94">
            <w:pPr>
              <w:pStyle w:val="style0"/>
              <w:spacing w:after="60"/>
              <w:rPr/>
            </w:pPr>
            <w:r>
              <w:rPr>
                <w:sz w:val="21"/>
                <w:szCs w:val="21"/>
              </w:rPr>
              <w:t>Low amounts of energy are released, so it is an inefficient method of obtaining energy.</w:t>
            </w:r>
          </w:p>
        </w:tc>
      </w:tr>
      <w:tr w14:paraId="77C39019">
        <w:tblPrEx/>
        <w:trPr/>
        <w:tc>
          <w:tcPr>
            <w:tcW w:w="4750" w:type="dxa"/>
            <w:tcBorders/>
            <w:shd w:val="clear" w:color="auto" w:fill="ffffff"/>
            <w:tcMar>
              <w:top w:w="100" w:type="dxa"/>
              <w:left w:w="120" w:type="dxa"/>
              <w:bottom w:w="100" w:type="dxa"/>
              <w:right w:w="120" w:type="dxa"/>
            </w:tcMar>
            <w:vAlign w:val="center"/>
          </w:tcPr>
          <w:p w14:paraId="7CA8D183">
            <w:pPr>
              <w:pStyle w:val="style0"/>
              <w:spacing w:after="60"/>
              <w:rPr/>
            </w:pPr>
            <w:r>
              <w:rPr>
                <w:sz w:val="21"/>
                <w:szCs w:val="21"/>
              </w:rPr>
              <w:t>The substrate (glucose) is completely broken down to CO₂, water and energy.</w:t>
            </w:r>
          </w:p>
        </w:tc>
        <w:tc>
          <w:tcPr>
            <w:tcW w:w="4750" w:type="dxa"/>
            <w:tcBorders/>
            <w:shd w:val="clear" w:color="auto" w:fill="ffffff"/>
            <w:tcMar>
              <w:top w:w="100" w:type="dxa"/>
              <w:left w:w="120" w:type="dxa"/>
              <w:bottom w:w="100" w:type="dxa"/>
              <w:right w:w="120" w:type="dxa"/>
            </w:tcMar>
            <w:vAlign w:val="center"/>
          </w:tcPr>
          <w:p w14:paraId="138F766B">
            <w:pPr>
              <w:pStyle w:val="style0"/>
              <w:spacing w:after="60"/>
              <w:rPr/>
            </w:pPr>
            <w:r>
              <w:rPr>
                <w:sz w:val="21"/>
                <w:szCs w:val="21"/>
              </w:rPr>
              <w:t>There is incomplete breakdown of the substrate, resulting in ethanol, CO₂ and energy.</w:t>
            </w:r>
          </w:p>
        </w:tc>
      </w:tr>
      <w:tr w14:paraId="70F512D1">
        <w:tblPrEx/>
        <w:trPr/>
        <w:tc>
          <w:tcPr>
            <w:tcW w:w="4750" w:type="dxa"/>
            <w:tcBorders/>
            <w:shd w:val="clear" w:color="auto" w:fill="eaf1f4"/>
            <w:tcMar>
              <w:top w:w="100" w:type="dxa"/>
              <w:left w:w="120" w:type="dxa"/>
              <w:bottom w:w="100" w:type="dxa"/>
              <w:right w:w="120" w:type="dxa"/>
            </w:tcMar>
            <w:vAlign w:val="center"/>
          </w:tcPr>
          <w:p w14:paraId="845DEC5F">
            <w:pPr>
              <w:pStyle w:val="style0"/>
              <w:spacing w:after="60"/>
              <w:rPr/>
            </w:pPr>
            <w:r>
              <w:rPr>
                <w:sz w:val="21"/>
                <w:szCs w:val="21"/>
              </w:rPr>
              <w:t>Occurs in both the cytoplasm and the mitochondria.</w:t>
            </w:r>
          </w:p>
        </w:tc>
        <w:tc>
          <w:tcPr>
            <w:tcW w:w="4750" w:type="dxa"/>
            <w:tcBorders/>
            <w:shd w:val="clear" w:color="auto" w:fill="eaf1f4"/>
            <w:tcMar>
              <w:top w:w="100" w:type="dxa"/>
              <w:left w:w="120" w:type="dxa"/>
              <w:bottom w:w="100" w:type="dxa"/>
              <w:right w:w="120" w:type="dxa"/>
            </w:tcMar>
            <w:vAlign w:val="center"/>
          </w:tcPr>
          <w:p w14:paraId="E60B47C9">
            <w:pPr>
              <w:pStyle w:val="style0"/>
              <w:spacing w:after="60"/>
              <w:rPr/>
            </w:pPr>
            <w:r>
              <w:rPr>
                <w:sz w:val="21"/>
                <w:szCs w:val="21"/>
              </w:rPr>
              <w:t>Occurs only in the cytoplasm.</w:t>
            </w:r>
          </w:p>
        </w:tc>
      </w:tr>
    </w:tbl>
    <w:p w14:paraId="503819FC">
      <w:pPr>
        <w:pStyle w:val="style0"/>
        <w:rPr/>
      </w:pPr>
      <w:r>
        <w:br w:type="page"/>
      </w:r>
    </w:p>
    <w:p w14:paraId="AD05B5B2">
      <w:pPr>
        <w:pStyle w:val="style4097"/>
        <w:spacing w:before="400" w:after="200"/>
        <w:rPr/>
      </w:pPr>
      <w:r>
        <w:rPr>
          <w:b/>
          <w:bCs/>
        </w:rPr>
        <w:t>D. Economic Importance of Anaerobic Respiration in Nature</w:t>
      </w:r>
    </w:p>
    <w:p w14:paraId="9E33031D">
      <w:pPr>
        <w:pStyle w:val="style0"/>
        <w:spacing w:after="150"/>
        <w:rPr/>
      </w:pPr>
      <w:r>
        <w:t>Human beings have long applied knowledge of anaerobic respiration (fermentation) in many fields of everyday life and industry:</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2600"/>
        <w:gridCol w:w="6900"/>
      </w:tblGrid>
      <w:tr w14:paraId="45129335">
        <w:trPr>
          <w:tblHeader/>
        </w:trPr>
        <w:tc>
          <w:tcPr>
            <w:tcW w:w="2600" w:type="dxa"/>
            <w:tcBorders/>
            <w:shd w:val="clear" w:color="auto" w:fill="1f4e5f"/>
            <w:tcMar>
              <w:top w:w="100" w:type="dxa"/>
              <w:left w:w="120" w:type="dxa"/>
              <w:bottom w:w="100" w:type="dxa"/>
              <w:right w:w="120" w:type="dxa"/>
            </w:tcMar>
            <w:vAlign w:val="center"/>
          </w:tcPr>
          <w:p w14:paraId="A6125004">
            <w:pPr>
              <w:pStyle w:val="style0"/>
              <w:spacing w:after="60"/>
              <w:rPr/>
            </w:pPr>
            <w:r>
              <w:rPr>
                <w:b/>
                <w:bCs/>
                <w:color w:val="ffffff"/>
                <w:sz w:val="21"/>
                <w:szCs w:val="21"/>
              </w:rPr>
              <w:t>Field</w:t>
            </w:r>
          </w:p>
        </w:tc>
        <w:tc>
          <w:tcPr>
            <w:tcW w:w="6900" w:type="dxa"/>
            <w:tcBorders/>
            <w:shd w:val="clear" w:color="auto" w:fill="1f4e5f"/>
            <w:tcMar>
              <w:top w:w="100" w:type="dxa"/>
              <w:left w:w="120" w:type="dxa"/>
              <w:bottom w:w="100" w:type="dxa"/>
              <w:right w:w="120" w:type="dxa"/>
            </w:tcMar>
            <w:vAlign w:val="center"/>
          </w:tcPr>
          <w:p w14:paraId="5D27145F">
            <w:pPr>
              <w:pStyle w:val="style0"/>
              <w:spacing w:after="60"/>
              <w:rPr/>
            </w:pPr>
            <w:r>
              <w:rPr>
                <w:b/>
                <w:bCs/>
                <w:color w:val="ffffff"/>
                <w:sz w:val="21"/>
                <w:szCs w:val="21"/>
              </w:rPr>
              <w:t>Application of Anaerobic Respiration</w:t>
            </w:r>
          </w:p>
        </w:tc>
      </w:tr>
      <w:tr w14:paraId="5872DA52">
        <w:tblPrEx/>
        <w:trPr/>
        <w:tc>
          <w:tcPr>
            <w:tcW w:w="2600" w:type="dxa"/>
            <w:tcBorders/>
            <w:shd w:val="clear" w:color="auto" w:fill="ffffff"/>
            <w:tcMar>
              <w:top w:w="100" w:type="dxa"/>
              <w:left w:w="120" w:type="dxa"/>
              <w:bottom w:w="100" w:type="dxa"/>
              <w:right w:w="120" w:type="dxa"/>
            </w:tcMar>
            <w:vAlign w:val="center"/>
          </w:tcPr>
          <w:p w14:paraId="3FE2AD3A">
            <w:pPr>
              <w:pStyle w:val="style0"/>
              <w:spacing w:after="60"/>
              <w:rPr/>
            </w:pPr>
            <w:r>
              <w:rPr>
                <w:sz w:val="21"/>
                <w:szCs w:val="21"/>
              </w:rPr>
              <w:t>Brewing industry</w:t>
            </w:r>
          </w:p>
        </w:tc>
        <w:tc>
          <w:tcPr>
            <w:tcW w:w="6900" w:type="dxa"/>
            <w:tcBorders/>
            <w:shd w:val="clear" w:color="auto" w:fill="ffffff"/>
            <w:tcMar>
              <w:top w:w="100" w:type="dxa"/>
              <w:left w:w="120" w:type="dxa"/>
              <w:bottom w:w="100" w:type="dxa"/>
              <w:right w:w="120" w:type="dxa"/>
            </w:tcMar>
            <w:vAlign w:val="center"/>
          </w:tcPr>
          <w:p w14:paraId="C6C3F665">
            <w:pPr>
              <w:pStyle w:val="style0"/>
              <w:spacing w:after="60"/>
              <w:rPr/>
            </w:pPr>
            <w:r>
              <w:rPr>
                <w:sz w:val="21"/>
                <w:szCs w:val="21"/>
              </w:rPr>
              <w:t>Yeast anaerobically breaks down sugar in sorghum, barley, malt and grapes to make alcoholic beverages (wines, beers). Distilling the alcohol produced yields power alcohol, used as a substitute for petrol in vehicles.</w:t>
            </w:r>
          </w:p>
        </w:tc>
      </w:tr>
      <w:tr w14:paraId="8AAC946C">
        <w:tblPrEx/>
        <w:trPr/>
        <w:tc>
          <w:tcPr>
            <w:tcW w:w="2600" w:type="dxa"/>
            <w:tcBorders/>
            <w:shd w:val="clear" w:color="auto" w:fill="eaf1f4"/>
            <w:tcMar>
              <w:top w:w="100" w:type="dxa"/>
              <w:left w:w="120" w:type="dxa"/>
              <w:bottom w:w="100" w:type="dxa"/>
              <w:right w:w="120" w:type="dxa"/>
            </w:tcMar>
            <w:vAlign w:val="center"/>
          </w:tcPr>
          <w:p w14:paraId="CAF2ED3D">
            <w:pPr>
              <w:pStyle w:val="style0"/>
              <w:spacing w:after="60"/>
              <w:rPr/>
            </w:pPr>
            <w:r>
              <w:rPr>
                <w:sz w:val="21"/>
                <w:szCs w:val="21"/>
              </w:rPr>
              <w:t>Baking industry</w:t>
            </w:r>
          </w:p>
        </w:tc>
        <w:tc>
          <w:tcPr>
            <w:tcW w:w="6900" w:type="dxa"/>
            <w:tcBorders/>
            <w:shd w:val="clear" w:color="auto" w:fill="eaf1f4"/>
            <w:tcMar>
              <w:top w:w="100" w:type="dxa"/>
              <w:left w:w="120" w:type="dxa"/>
              <w:bottom w:w="100" w:type="dxa"/>
              <w:right w:w="120" w:type="dxa"/>
            </w:tcMar>
            <w:vAlign w:val="center"/>
          </w:tcPr>
          <w:p w14:paraId="C122D839">
            <w:pPr>
              <w:pStyle w:val="style0"/>
              <w:spacing w:after="60"/>
              <w:rPr/>
            </w:pPr>
            <w:r>
              <w:rPr>
                <w:sz w:val="21"/>
                <w:szCs w:val="21"/>
              </w:rPr>
              <w:t>Yeast produces CO₂ which causes dough to rise, making it possible to bake bread and cakes.</w:t>
            </w:r>
          </w:p>
        </w:tc>
      </w:tr>
      <w:tr w14:paraId="F85BCC75">
        <w:tblPrEx/>
        <w:trPr/>
        <w:tc>
          <w:tcPr>
            <w:tcW w:w="2600" w:type="dxa"/>
            <w:tcBorders/>
            <w:shd w:val="clear" w:color="auto" w:fill="ffffff"/>
            <w:tcMar>
              <w:top w:w="100" w:type="dxa"/>
              <w:left w:w="120" w:type="dxa"/>
              <w:bottom w:w="100" w:type="dxa"/>
              <w:right w:w="120" w:type="dxa"/>
            </w:tcMar>
            <w:vAlign w:val="center"/>
          </w:tcPr>
          <w:p w14:paraId="3B3D0B4D">
            <w:pPr>
              <w:pStyle w:val="style0"/>
              <w:spacing w:after="60"/>
              <w:rPr/>
            </w:pPr>
            <w:r>
              <w:rPr>
                <w:sz w:val="21"/>
                <w:szCs w:val="21"/>
              </w:rPr>
              <w:t>Dairy industry</w:t>
            </w:r>
          </w:p>
        </w:tc>
        <w:tc>
          <w:tcPr>
            <w:tcW w:w="6900" w:type="dxa"/>
            <w:tcBorders/>
            <w:shd w:val="clear" w:color="auto" w:fill="ffffff"/>
            <w:tcMar>
              <w:top w:w="100" w:type="dxa"/>
              <w:left w:w="120" w:type="dxa"/>
              <w:bottom w:w="100" w:type="dxa"/>
              <w:right w:w="120" w:type="dxa"/>
            </w:tcMar>
            <w:vAlign w:val="center"/>
          </w:tcPr>
          <w:p w14:paraId="06E76620">
            <w:pPr>
              <w:pStyle w:val="style0"/>
              <w:spacing w:after="60"/>
              <w:rPr/>
            </w:pPr>
            <w:r>
              <w:rPr>
                <w:sz w:val="21"/>
                <w:szCs w:val="21"/>
              </w:rPr>
              <w:t>Bacteria anaerobically break down sugars in milk to release lactic acid, enabling production of cheese, cream, butter, ghee and yoghurt.</w:t>
            </w:r>
          </w:p>
        </w:tc>
      </w:tr>
      <w:tr w14:paraId="62AC97B0">
        <w:tblPrEx/>
        <w:trPr/>
        <w:tc>
          <w:tcPr>
            <w:tcW w:w="2600" w:type="dxa"/>
            <w:tcBorders/>
            <w:shd w:val="clear" w:color="auto" w:fill="eaf1f4"/>
            <w:tcMar>
              <w:top w:w="100" w:type="dxa"/>
              <w:left w:w="120" w:type="dxa"/>
              <w:bottom w:w="100" w:type="dxa"/>
              <w:right w:w="120" w:type="dxa"/>
            </w:tcMar>
            <w:vAlign w:val="center"/>
          </w:tcPr>
          <w:p w14:paraId="A453277D">
            <w:pPr>
              <w:pStyle w:val="style0"/>
              <w:spacing w:after="60"/>
              <w:rPr/>
            </w:pPr>
            <w:r>
              <w:rPr>
                <w:sz w:val="21"/>
                <w:szCs w:val="21"/>
              </w:rPr>
              <w:t>Sewage treatment</w:t>
            </w:r>
          </w:p>
        </w:tc>
        <w:tc>
          <w:tcPr>
            <w:tcW w:w="6900" w:type="dxa"/>
            <w:tcBorders/>
            <w:shd w:val="clear" w:color="auto" w:fill="eaf1f4"/>
            <w:tcMar>
              <w:top w:w="100" w:type="dxa"/>
              <w:left w:w="120" w:type="dxa"/>
              <w:bottom w:w="100" w:type="dxa"/>
              <w:right w:w="120" w:type="dxa"/>
            </w:tcMar>
            <w:vAlign w:val="center"/>
          </w:tcPr>
          <w:p w14:paraId="1AE568AD">
            <w:pPr>
              <w:pStyle w:val="style0"/>
              <w:spacing w:after="60"/>
              <w:rPr/>
            </w:pPr>
            <w:r>
              <w:rPr>
                <w:sz w:val="21"/>
                <w:szCs w:val="21"/>
              </w:rPr>
              <w:t>Micro-organisms anaerobically break down organic matter and reduce sludge volume, producing effluent with reduced suspended solids.</w:t>
            </w:r>
          </w:p>
        </w:tc>
      </w:tr>
      <w:tr w14:paraId="72C2E41C">
        <w:tblPrEx/>
        <w:trPr/>
        <w:tc>
          <w:tcPr>
            <w:tcW w:w="2600" w:type="dxa"/>
            <w:tcBorders/>
            <w:shd w:val="clear" w:color="auto" w:fill="ffffff"/>
            <w:tcMar>
              <w:top w:w="100" w:type="dxa"/>
              <w:left w:w="120" w:type="dxa"/>
              <w:bottom w:w="100" w:type="dxa"/>
              <w:right w:w="120" w:type="dxa"/>
            </w:tcMar>
            <w:vAlign w:val="center"/>
          </w:tcPr>
          <w:p w14:paraId="955E8CDE">
            <w:pPr>
              <w:pStyle w:val="style0"/>
              <w:spacing w:after="60"/>
              <w:rPr/>
            </w:pPr>
            <w:r>
              <w:rPr>
                <w:sz w:val="21"/>
                <w:szCs w:val="21"/>
              </w:rPr>
              <w:t>Biogas production</w:t>
            </w:r>
          </w:p>
        </w:tc>
        <w:tc>
          <w:tcPr>
            <w:tcW w:w="6900" w:type="dxa"/>
            <w:tcBorders/>
            <w:shd w:val="clear" w:color="auto" w:fill="ffffff"/>
            <w:tcMar>
              <w:top w:w="100" w:type="dxa"/>
              <w:left w:w="120" w:type="dxa"/>
              <w:bottom w:w="100" w:type="dxa"/>
              <w:right w:w="120" w:type="dxa"/>
            </w:tcMar>
            <w:vAlign w:val="center"/>
          </w:tcPr>
          <w:p w14:paraId="4F31D5F8">
            <w:pPr>
              <w:pStyle w:val="style0"/>
              <w:spacing w:after="60"/>
              <w:rPr/>
            </w:pPr>
            <w:r>
              <w:rPr>
                <w:sz w:val="21"/>
                <w:szCs w:val="21"/>
              </w:rPr>
              <w:t>Micro-organisms anaerobically break down organic matter in sealed tanks to produce biogas (CO₂ and methane); the methane is collected and used as fuel for cooking or heating.</w:t>
            </w:r>
          </w:p>
        </w:tc>
      </w:tr>
      <w:tr w14:paraId="E932B83F">
        <w:tblPrEx/>
        <w:trPr/>
        <w:tc>
          <w:tcPr>
            <w:tcW w:w="2600" w:type="dxa"/>
            <w:tcBorders/>
            <w:shd w:val="clear" w:color="auto" w:fill="eaf1f4"/>
            <w:tcMar>
              <w:top w:w="100" w:type="dxa"/>
              <w:left w:w="120" w:type="dxa"/>
              <w:bottom w:w="100" w:type="dxa"/>
              <w:right w:w="120" w:type="dxa"/>
            </w:tcMar>
            <w:vAlign w:val="center"/>
          </w:tcPr>
          <w:p w14:paraId="E6DEA09D">
            <w:pPr>
              <w:pStyle w:val="style0"/>
              <w:spacing w:after="60"/>
              <w:rPr/>
            </w:pPr>
            <w:r>
              <w:rPr>
                <w:sz w:val="21"/>
                <w:szCs w:val="21"/>
              </w:rPr>
              <w:t>Production of organic acids</w:t>
            </w:r>
          </w:p>
        </w:tc>
        <w:tc>
          <w:tcPr>
            <w:tcW w:w="6900" w:type="dxa"/>
            <w:tcBorders/>
            <w:shd w:val="clear" w:color="auto" w:fill="eaf1f4"/>
            <w:tcMar>
              <w:top w:w="100" w:type="dxa"/>
              <w:left w:w="120" w:type="dxa"/>
              <w:bottom w:w="100" w:type="dxa"/>
              <w:right w:w="120" w:type="dxa"/>
            </w:tcMar>
            <w:vAlign w:val="center"/>
          </w:tcPr>
          <w:p w14:paraId="72B14659">
            <w:pPr>
              <w:pStyle w:val="style0"/>
              <w:spacing w:after="60"/>
              <w:rPr/>
            </w:pPr>
            <w:r>
              <w:rPr>
                <w:sz w:val="21"/>
                <w:szCs w:val="21"/>
              </w:rPr>
              <w:t>Bacteria anaerobically break down ethanol to produce organic acids such as ethanoic (acetic) acid, citric acid, oxalic acid and butanoic acid.</w:t>
            </w:r>
          </w:p>
        </w:tc>
      </w:tr>
      <w:tr w14:paraId="2E0FE02F">
        <w:tblPrEx/>
        <w:trPr/>
        <w:tc>
          <w:tcPr>
            <w:tcW w:w="2600" w:type="dxa"/>
            <w:tcBorders/>
            <w:shd w:val="clear" w:color="auto" w:fill="ffffff"/>
            <w:tcMar>
              <w:top w:w="100" w:type="dxa"/>
              <w:left w:w="120" w:type="dxa"/>
              <w:bottom w:w="100" w:type="dxa"/>
              <w:right w:w="120" w:type="dxa"/>
            </w:tcMar>
            <w:vAlign w:val="center"/>
          </w:tcPr>
          <w:p w14:paraId="B5137B86">
            <w:pPr>
              <w:pStyle w:val="style0"/>
              <w:spacing w:after="60"/>
              <w:rPr/>
            </w:pPr>
            <w:r>
              <w:rPr>
                <w:sz w:val="21"/>
                <w:szCs w:val="21"/>
              </w:rPr>
              <w:t>Pharmaceutical industry</w:t>
            </w:r>
          </w:p>
        </w:tc>
        <w:tc>
          <w:tcPr>
            <w:tcW w:w="6900" w:type="dxa"/>
            <w:tcBorders/>
            <w:shd w:val="clear" w:color="auto" w:fill="ffffff"/>
            <w:tcMar>
              <w:top w:w="100" w:type="dxa"/>
              <w:left w:w="120" w:type="dxa"/>
              <w:bottom w:w="100" w:type="dxa"/>
              <w:right w:w="120" w:type="dxa"/>
            </w:tcMar>
            <w:vAlign w:val="center"/>
          </w:tcPr>
          <w:p w14:paraId="6714DB5D">
            <w:pPr>
              <w:pStyle w:val="style0"/>
              <w:spacing w:after="60"/>
              <w:rPr/>
            </w:pPr>
            <w:r>
              <w:rPr>
                <w:sz w:val="21"/>
                <w:szCs w:val="21"/>
              </w:rPr>
              <w:t>Anaerobic respiration is used to produce drugs such as penicillin.</w:t>
            </w:r>
          </w:p>
        </w:tc>
      </w:tr>
      <w:tr w14:paraId="383FB4C0">
        <w:tblPrEx/>
        <w:trPr/>
        <w:tc>
          <w:tcPr>
            <w:tcW w:w="2600" w:type="dxa"/>
            <w:tcBorders/>
            <w:shd w:val="clear" w:color="auto" w:fill="eaf1f4"/>
            <w:tcMar>
              <w:top w:w="100" w:type="dxa"/>
              <w:left w:w="120" w:type="dxa"/>
              <w:bottom w:w="100" w:type="dxa"/>
              <w:right w:w="120" w:type="dxa"/>
            </w:tcMar>
            <w:vAlign w:val="center"/>
          </w:tcPr>
          <w:p w14:paraId="014FE82C">
            <w:pPr>
              <w:pStyle w:val="style0"/>
              <w:spacing w:after="60"/>
              <w:rPr/>
            </w:pPr>
            <w:r>
              <w:rPr>
                <w:sz w:val="21"/>
                <w:szCs w:val="21"/>
              </w:rPr>
              <w:t>Agriculture</w:t>
            </w:r>
          </w:p>
        </w:tc>
        <w:tc>
          <w:tcPr>
            <w:tcW w:w="6900" w:type="dxa"/>
            <w:tcBorders/>
            <w:shd w:val="clear" w:color="auto" w:fill="eaf1f4"/>
            <w:tcMar>
              <w:top w:w="100" w:type="dxa"/>
              <w:left w:w="120" w:type="dxa"/>
              <w:bottom w:w="100" w:type="dxa"/>
              <w:right w:w="120" w:type="dxa"/>
            </w:tcMar>
            <w:vAlign w:val="center"/>
          </w:tcPr>
          <w:p w14:paraId="D51DFD02">
            <w:pPr>
              <w:pStyle w:val="style0"/>
              <w:spacing w:after="60"/>
              <w:rPr/>
            </w:pPr>
            <w:r>
              <w:rPr>
                <w:sz w:val="21"/>
                <w:szCs w:val="21"/>
              </w:rPr>
              <w:t>Micro-organisms anaerobically break down sugars in forage material, producing acids (e.g. acetate, lactate) that lower pH and inhibit decomposers, preserving forage used in livestock feeding (silage-making).</w:t>
            </w:r>
          </w:p>
        </w:tc>
      </w:tr>
    </w:tbl>
    <w:p w14:paraId="ECAA075C">
      <w:pPr>
        <w:pStyle w:val="style0"/>
        <w:spacing w:after="250"/>
        <w:rPr/>
      </w:pPr>
    </w:p>
    <w:p w14:paraId="0FFC7201">
      <w:pPr>
        <w:pStyle w:val="style4097"/>
        <w:spacing w:before="400" w:after="200"/>
        <w:rPr/>
      </w:pPr>
      <w:r>
        <w:rPr>
          <w:b/>
          <w:bCs/>
        </w:rPr>
        <w:t>Summary</w:t>
      </w:r>
    </w:p>
    <w:p w14:paraId="3F3FE947">
      <w:pPr>
        <w:pStyle w:val="style179"/>
        <w:numPr>
          <w:ilvl w:val="0"/>
          <w:numId w:val="1"/>
        </w:numPr>
        <w:spacing w:after="80"/>
        <w:rPr/>
      </w:pPr>
      <w:r>
        <w:t>Gaseous exchange is the diffusion of respiratory gases (O₂ and CO₂) between plant tissues and the environment across a respiratory surface.</w:t>
      </w:r>
    </w:p>
    <w:p w14:paraId="A03FD984">
      <w:pPr>
        <w:pStyle w:val="style179"/>
        <w:numPr>
          <w:ilvl w:val="0"/>
          <w:numId w:val="1"/>
        </w:numPr>
        <w:spacing w:after="80"/>
        <w:rPr/>
      </w:pPr>
      <w:r>
        <w:t>Main gaseous exchange sites: stomata (leaves — open/close via guard cells), lenticels (woody stems/roots — always open), cuticle (thin in young tissue), pneumatophores (breathing roots of mangroves/swamp plants), and aerenchyma (air-storage tissue in aquatic plants).</w:t>
      </w:r>
    </w:p>
    <w:p w14:paraId="7A2B0D1A">
      <w:pPr>
        <w:pStyle w:val="style179"/>
        <w:numPr>
          <w:ilvl w:val="0"/>
          <w:numId w:val="1"/>
        </w:numPr>
        <w:spacing w:after="80"/>
        <w:rPr/>
      </w:pPr>
      <w:r>
        <w:t>Three theories explain stomatal opening/closing: photosynthetic theory, starch–sugar interconversion theory, and potassium-ion theory — all link daytime energy capture to guard cells becoming turgid (open) and night-time reversal to guard cells becoming flaccid (closed).</w:t>
      </w:r>
    </w:p>
    <w:p w14:paraId="071BB927">
      <w:pPr>
        <w:pStyle w:val="style179"/>
        <w:numPr>
          <w:ilvl w:val="0"/>
          <w:numId w:val="1"/>
        </w:numPr>
        <w:spacing w:after="80"/>
        <w:rPr/>
      </w:pPr>
      <w:r>
        <w:t>Stomatal number, size and distribution vary with habitat: xerophytes (few, small, often lower surface), mesophytes (moderate, both surfaces), hydrophytes (many, large, mainly upper surface).</w:t>
      </w:r>
    </w:p>
    <w:p w14:paraId="6697D961">
      <w:pPr>
        <w:pStyle w:val="style179"/>
        <w:numPr>
          <w:ilvl w:val="0"/>
          <w:numId w:val="1"/>
        </w:numPr>
        <w:spacing w:after="80"/>
        <w:rPr/>
      </w:pPr>
      <w:r>
        <w:t>Respiration releases energy from food: aerobic respiration (with O₂) is efficient and complete, occurring in mitochondria and cytoplasm; anaerobic respiration (without O₂) is inefficient and incomplete, occurring only in the cytoplasm, producing ethanol in plants.</w:t>
      </w:r>
    </w:p>
    <w:p w14:paraId="DB7FAFA6">
      <w:pPr>
        <w:pStyle w:val="style179"/>
        <w:numPr>
          <w:ilvl w:val="0"/>
          <w:numId w:val="1"/>
        </w:numPr>
        <w:spacing w:after="80"/>
        <w:rPr/>
      </w:pPr>
      <w:r>
        <w:t>Anaerobic respiration (fermentation) has wide economic importance: brewing, baking, dairy, sewage treatment, biogas production, organic acid production, pharmaceuticals and agriculture (silage).</w:t>
      </w:r>
    </w:p>
    <w:sectPr>
      <w:pgSz w:w="12240" w:h="15840" w:orient="portrait"/>
      <w:pgMar w:top="900" w:right="1000" w:bottom="900" w:left="1000" w:header="708" w:footer="708" w:gutter="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FFFFFFFF"/>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w="http://schemas.openxmlformats.org/wordprocessingml/2006/main" xmlns:r="http://schemas.openxmlformats.org/officeDocument/2006/relationships" xmlns:m="http://schemas.openxmlformats.org/officeDocument/2006/math">
  <w:displayBackgroundShape/>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compat>
    <w:compatSetting w:name="compatibilityMode" w:uri="http://schemas.microsoft.com/office/word" w:val="15"/>
  </w:compat>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Calibri" w:eastAsia="Calibri" w:hAnsi="Calibri"/>
        <w:sz w:val="22"/>
        <w:szCs w:val="22"/>
      </w:rPr>
    </w:rPrDefault>
    <w:pPrDefault>
      <w:pPr/>
    </w:pPrDefault>
  </w:docDefaults>
  <w:style w:type="paragraph" w:styleId="style62">
    <w:name w:val="Title"/>
    <w:next w:val="style62"/>
    <w:qFormat/>
    <w:pPr/>
    <w:rPr>
      <w:sz w:val="56"/>
      <w:szCs w:val="56"/>
    </w:rPr>
  </w:style>
  <w:style w:type="paragraph" w:customStyle="1" w:styleId="style4097">
    <w:name w:val="Heading 1"/>
    <w:next w:val="style4097"/>
    <w:qFormat/>
    <w:pPr/>
    <w:rPr>
      <w:color w:val="2e74b5"/>
      <w:sz w:val="32"/>
      <w:szCs w:val="32"/>
    </w:rPr>
  </w:style>
  <w:style w:type="paragraph" w:customStyle="1" w:styleId="style4098">
    <w:name w:val="Heading 2"/>
    <w:next w:val="style4098"/>
    <w:qFormat/>
    <w:pPr/>
    <w:rPr>
      <w:color w:val="2e74b5"/>
      <w:sz w:val="26"/>
      <w:szCs w:val="26"/>
    </w:rPr>
  </w:style>
  <w:style w:type="paragraph" w:customStyle="1" w:styleId="style4099">
    <w:name w:val="Heading 3"/>
    <w:next w:val="style4099"/>
    <w:qFormat/>
    <w:pPr/>
    <w:rPr>
      <w:color w:val="1f4d78"/>
      <w:sz w:val="24"/>
      <w:szCs w:val="24"/>
    </w:rPr>
  </w:style>
  <w:style w:type="paragraph" w:customStyle="1" w:styleId="style4100">
    <w:name w:val="Heading 4"/>
    <w:next w:val="style4100"/>
    <w:qFormat/>
    <w:pPr/>
    <w:rPr>
      <w:i/>
      <w:iCs/>
      <w:color w:val="2e74b5"/>
    </w:rPr>
  </w:style>
  <w:style w:type="paragraph" w:customStyle="1" w:styleId="style4101">
    <w:name w:val="Heading 5"/>
    <w:next w:val="style4101"/>
    <w:qFormat/>
    <w:pPr/>
    <w:rPr>
      <w:color w:val="2e74b5"/>
    </w:rPr>
  </w:style>
  <w:style w:type="paragraph" w:customStyle="1" w:styleId="style4102">
    <w:name w:val="Heading 6"/>
    <w:next w:val="style4102"/>
    <w:qFormat/>
    <w:pPr/>
    <w:rPr>
      <w:color w:val="1f4d78"/>
    </w:rPr>
  </w:style>
  <w:style w:type="paragraph" w:customStyle="1" w:styleId="style4103">
    <w:name w:val="Strong_b2778aa4-a378-46e1-a0be-2f6753fb118d"/>
    <w:next w:val="style4103"/>
    <w:qFormat/>
    <w:pPr/>
    <w:rPr>
      <w:b/>
      <w:bCs/>
    </w:rPr>
  </w:style>
  <w:style w:type="paragraph" w:styleId="style179">
    <w:name w:val="List Paragraph"/>
    <w:next w:val="style179"/>
    <w:qFormat/>
    <w:pPr/>
  </w:style>
  <w:style w:type="character" w:styleId="style85">
    <w:name w:val="Hyperlink"/>
    <w:next w:val="style85"/>
    <w:uiPriority w:val="99"/>
    <w:rPr>
      <w:color w:val="0563c1"/>
      <w:u w:val="single"/>
    </w:rPr>
  </w:style>
  <w:style w:type="character" w:styleId="style38">
    <w:name w:val="footnote reference"/>
    <w:next w:val="style38"/>
    <w:uiPriority w:val="99"/>
    <w:rPr>
      <w:vertAlign w:val="superscript"/>
    </w:rPr>
  </w:style>
  <w:style w:type="paragraph" w:styleId="style29">
    <w:name w:val="footnote text"/>
    <w:next w:val="style29"/>
    <w:link w:val="style4104"/>
    <w:uiPriority w:val="99"/>
    <w:pPr>
      <w:spacing w:after="0" w:lineRule="auto" w:line="240"/>
    </w:pPr>
    <w:rPr>
      <w:sz w:val="20"/>
      <w:szCs w:val="20"/>
    </w:rPr>
  </w:style>
  <w:style w:type="character" w:customStyle="1" w:styleId="style4104">
    <w:name w:val="Footnote Text Char"/>
    <w:next w:val="style4104"/>
    <w:link w:val="style29"/>
    <w:uiPriority w:val="99"/>
    <w:rPr>
      <w:sz w:val="20"/>
      <w:szCs w:val="20"/>
    </w:rPr>
  </w:style>
  <w:style w:type="character" w:styleId="style42">
    <w:name w:val="endnote reference"/>
    <w:next w:val="style42"/>
    <w:uiPriority w:val="99"/>
    <w:rPr>
      <w:vertAlign w:val="superscript"/>
    </w:rPr>
  </w:style>
  <w:style w:type="paragraph" w:styleId="style43">
    <w:name w:val="endnote text"/>
    <w:next w:val="style43"/>
    <w:link w:val="style4105"/>
    <w:uiPriority w:val="99"/>
    <w:pPr>
      <w:spacing w:after="0" w:lineRule="auto" w:line="240"/>
    </w:pPr>
    <w:rPr>
      <w:sz w:val="20"/>
      <w:szCs w:val="20"/>
    </w:rPr>
  </w:style>
  <w:style w:type="character" w:customStyle="1" w:styleId="style4105">
    <w:name w:val="Endnote Text Char"/>
    <w:next w:val="style4105"/>
    <w:link w:val="style43"/>
    <w:uiPriority w:val="99"/>
    <w:rPr>
      <w:sz w:val="20"/>
      <w:szCs w:val="20"/>
    </w:rPr>
  </w:style>
  <w:style w:type="paragraph" w:default="1" w:styleId="style0">
    <w:name w:val="Normal"/>
    <w:pPr>
      <w:jc w:val="both"/>
    </w:pPr>
    <w:rPr>
      <w:sz w:val="21"/>
    </w:rPr>
  </w:style>
</w:styles>
</file>

<file path=word/_rels/document.xml.rels><?xml version="1.0" encoding="UTF-8"?>
<Relationships xmlns="http://schemas.openxmlformats.org/package/2006/relationships"><Relationship Id="rId11" Type="http://schemas.openxmlformats.org/officeDocument/2006/relationships/image" Target="media/image10.png"/><Relationship Id="rId10" Type="http://schemas.openxmlformats.org/officeDocument/2006/relationships/image" Target="media/image9.png"/><Relationship Id="rId13" Type="http://schemas.openxmlformats.org/officeDocument/2006/relationships/image" Target="media/image12.png"/><Relationship Id="rId12" Type="http://schemas.openxmlformats.org/officeDocument/2006/relationships/image" Target="media/image11.png"/><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15" Type="http://schemas.openxmlformats.org/officeDocument/2006/relationships/fontTable" Target="fontTable.xml"/><Relationship Id="rId14" Type="http://schemas.openxmlformats.org/officeDocument/2006/relationships/styles" Target="styles.xml"/><Relationship Id="rId17" Type="http://schemas.openxmlformats.org/officeDocument/2006/relationships/theme" Target="theme/theme1.xml"/><Relationship Id="rId16" Type="http://schemas.openxmlformats.org/officeDocument/2006/relationships/settings" Target="settings.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Words>3320</Words>
  <Characters>19000</Characters>
  <Application>WPS Office</Application>
  <Paragraphs>354</Paragraphs>
  <CharactersWithSpaces>22075</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2026-09-20T10:25:52Z</dcterms:created>
  <dc:creator>Un-named</dc:creator>
  <lastModifiedBy>TECNO KM5</lastModifiedBy>
  <dcterms:modified xsi:type="dcterms:W3CDTF">2026-09-20T10:25:52Z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cf439ab22c804d669d8af6b9bd43494a_23</vt:lpwstr>
  </property>
</Properties>
</file>